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hAnsi="仿宋_GB2312" w:eastAsia="仿宋_GB2312" w:cs="仿宋_GB2312"/>
          <w:b w:val="0"/>
          <w:bCs/>
          <w:color w:val="auto"/>
          <w:sz w:val="28"/>
          <w:szCs w:val="28"/>
          <w:lang w:val="en-US" w:eastAsia="zh-CN"/>
        </w:rPr>
      </w:pPr>
      <w:bookmarkStart w:id="0" w:name="_GoBack"/>
      <w:bookmarkEnd w:id="0"/>
      <w:r>
        <w:rPr>
          <w:rFonts w:hint="eastAsia" w:ascii="仿宋_GB2312" w:hAnsi="仿宋_GB2312" w:eastAsia="仿宋_GB2312" w:cs="仿宋_GB2312"/>
          <w:b w:val="0"/>
          <w:bCs/>
          <w:color w:val="auto"/>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仿宋_GB2312" w:hAnsi="仿宋_GB2312" w:eastAsia="仿宋_GB2312" w:cs="仿宋_GB2312"/>
          <w:b/>
          <w:bCs w:val="0"/>
          <w:color w:val="auto"/>
          <w:sz w:val="44"/>
          <w:szCs w:val="44"/>
          <w:lang w:val="en-US"/>
        </w:rPr>
      </w:pPr>
      <w:r>
        <w:rPr>
          <w:rFonts w:hint="eastAsia" w:ascii="仿宋_GB2312" w:hAnsi="仿宋_GB2312" w:eastAsia="仿宋_GB2312" w:cs="仿宋_GB2312"/>
          <w:b/>
          <w:bCs w:val="0"/>
          <w:color w:val="auto"/>
          <w:sz w:val="44"/>
          <w:szCs w:val="44"/>
          <w:lang w:val="en-US" w:eastAsia="zh-CN"/>
        </w:rPr>
        <w:t>报名信息表</w:t>
      </w:r>
    </w:p>
    <w:p>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项目编号</w:t>
      </w:r>
      <w:r>
        <w:rPr>
          <w:rFonts w:hint="eastAsia" w:ascii="仿宋_GB2312" w:hAnsi="仿宋_GB2312" w:eastAsia="仿宋_GB2312" w:cs="仿宋_GB2312"/>
          <w:color w:val="auto"/>
          <w:sz w:val="28"/>
          <w:szCs w:val="28"/>
        </w:rPr>
        <w:t>：</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项目名称：</w:t>
      </w:r>
    </w:p>
    <w:p>
      <w:pPr>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8"/>
          <w:szCs w:val="28"/>
          <w:lang w:val="en-US" w:eastAsia="zh-CN"/>
        </w:rPr>
        <w:t>以下为具体报名信息</w:t>
      </w:r>
    </w:p>
    <w:tbl>
      <w:tblPr>
        <w:tblStyle w:val="13"/>
        <w:tblW w:w="78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1"/>
        <w:gridCol w:w="5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trPr>
        <w:tc>
          <w:tcPr>
            <w:tcW w:w="2521"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报名日期</w:t>
            </w:r>
          </w:p>
        </w:tc>
        <w:tc>
          <w:tcPr>
            <w:tcW w:w="5355"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jc w:val="center"/>
              <w:textAlignment w:val="auto"/>
              <w:rPr>
                <w:rFonts w:hint="eastAsia" w:ascii="仿宋_GB2312" w:hAnsi="仿宋_GB2312" w:eastAsia="仿宋_GB2312" w:cs="仿宋_GB2312"/>
                <w:color w:val="auto"/>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trPr>
        <w:tc>
          <w:tcPr>
            <w:tcW w:w="2521"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公司全称</w:t>
            </w:r>
          </w:p>
        </w:tc>
        <w:tc>
          <w:tcPr>
            <w:tcW w:w="5355"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jc w:val="center"/>
              <w:textAlignment w:val="auto"/>
              <w:rPr>
                <w:rFonts w:hint="eastAsia" w:ascii="仿宋_GB2312" w:hAnsi="仿宋_GB2312"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trPr>
        <w:tc>
          <w:tcPr>
            <w:tcW w:w="2521"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办公固话</w:t>
            </w:r>
          </w:p>
        </w:tc>
        <w:tc>
          <w:tcPr>
            <w:tcW w:w="5355"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jc w:val="center"/>
              <w:textAlignment w:val="auto"/>
              <w:rPr>
                <w:rFonts w:hint="eastAsia" w:ascii="仿宋_GB2312" w:hAnsi="仿宋_GB2312"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trPr>
        <w:tc>
          <w:tcPr>
            <w:tcW w:w="2521"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电子邮箱</w:t>
            </w:r>
          </w:p>
        </w:tc>
        <w:tc>
          <w:tcPr>
            <w:tcW w:w="5355"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jc w:val="center"/>
              <w:textAlignment w:val="auto"/>
              <w:rPr>
                <w:rFonts w:hint="eastAsia" w:ascii="仿宋_GB2312" w:hAnsi="仿宋_GB2312"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trPr>
        <w:tc>
          <w:tcPr>
            <w:tcW w:w="2521"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公司地址</w:t>
            </w:r>
          </w:p>
        </w:tc>
        <w:tc>
          <w:tcPr>
            <w:tcW w:w="5355"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jc w:val="center"/>
              <w:textAlignment w:val="auto"/>
              <w:rPr>
                <w:rFonts w:hint="eastAsia" w:ascii="仿宋_GB2312" w:hAnsi="仿宋_GB2312"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trPr>
        <w:tc>
          <w:tcPr>
            <w:tcW w:w="2521"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联系人</w:t>
            </w:r>
          </w:p>
        </w:tc>
        <w:tc>
          <w:tcPr>
            <w:tcW w:w="5355"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jc w:val="center"/>
              <w:textAlignment w:val="auto"/>
              <w:rPr>
                <w:rFonts w:hint="eastAsia" w:ascii="仿宋_GB2312" w:hAnsi="仿宋_GB2312"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0" w:hRule="atLeast"/>
        </w:trPr>
        <w:tc>
          <w:tcPr>
            <w:tcW w:w="2521"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jc w:val="center"/>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手机号码</w:t>
            </w:r>
          </w:p>
        </w:tc>
        <w:tc>
          <w:tcPr>
            <w:tcW w:w="5355" w:type="dxa"/>
            <w:vAlign w:val="center"/>
          </w:tcPr>
          <w:p>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jc w:val="center"/>
              <w:textAlignment w:val="auto"/>
              <w:rPr>
                <w:rFonts w:hint="eastAsia" w:ascii="仿宋_GB2312" w:hAnsi="仿宋_GB2312" w:eastAsia="仿宋_GB2312" w:cs="仿宋_GB2312"/>
                <w:color w:val="auto"/>
                <w:sz w:val="28"/>
                <w:szCs w:val="28"/>
              </w:rPr>
            </w:pPr>
          </w:p>
        </w:tc>
      </w:tr>
    </w:tbl>
    <w:p>
      <w:pPr>
        <w:keepNext w:val="0"/>
        <w:keepLines w:val="0"/>
        <w:pageBreakBefore w:val="0"/>
        <w:widowControl w:val="0"/>
        <w:kinsoku/>
        <w:overflowPunct/>
        <w:topLinePunct w:val="0"/>
        <w:autoSpaceDE/>
        <w:autoSpaceDN/>
        <w:bidi w:val="0"/>
        <w:snapToGrid w:val="0"/>
        <w:spacing w:line="360" w:lineRule="auto"/>
        <w:textAlignment w:val="auto"/>
        <w:rPr>
          <w:rFonts w:hint="eastAsia"/>
          <w:color w:val="auto"/>
          <w:lang w:val="en-US" w:eastAsia="zh-CN"/>
        </w:rPr>
      </w:pPr>
      <w:r>
        <w:rPr>
          <w:rFonts w:hint="eastAsia"/>
          <w:color w:val="auto"/>
          <w:lang w:val="en-US" w:eastAsia="zh-CN"/>
        </w:rPr>
        <w:br w:type="page"/>
      </w:r>
    </w:p>
    <w:p>
      <w:pPr>
        <w:pStyle w:val="7"/>
        <w:spacing w:line="520" w:lineRule="exact"/>
        <w:jc w:val="both"/>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附件2</w:t>
      </w:r>
    </w:p>
    <w:p>
      <w:pPr>
        <w:pStyle w:val="7"/>
        <w:keepNext w:val="0"/>
        <w:keepLines w:val="0"/>
        <w:pageBreakBefore w:val="0"/>
        <w:widowControl w:val="0"/>
        <w:kinsoku/>
        <w:wordWrap w:val="0"/>
        <w:overflowPunct/>
        <w:topLinePunct w:val="0"/>
        <w:autoSpaceDE/>
        <w:autoSpaceDN/>
        <w:bidi w:val="0"/>
        <w:spacing w:line="520" w:lineRule="exact"/>
        <w:jc w:val="center"/>
        <w:textAlignment w:val="auto"/>
        <w:rPr>
          <w:rFonts w:hint="eastAsia" w:ascii="仿宋_GB2312" w:hAnsi="仿宋_GB2312" w:eastAsia="仿宋_GB2312" w:cs="仿宋_GB2312"/>
          <w:b/>
          <w:bCs w:val="0"/>
          <w:sz w:val="44"/>
          <w:szCs w:val="44"/>
        </w:rPr>
      </w:pPr>
      <w:r>
        <w:rPr>
          <w:rFonts w:hint="eastAsia" w:ascii="仿宋_GB2312" w:hAnsi="仿宋_GB2312" w:eastAsia="仿宋_GB2312" w:cs="仿宋_GB2312"/>
          <w:b/>
          <w:bCs w:val="0"/>
          <w:sz w:val="44"/>
          <w:szCs w:val="44"/>
        </w:rPr>
        <w:t>法人授权委托书</w:t>
      </w:r>
    </w:p>
    <w:p>
      <w:pPr>
        <w:pStyle w:val="7"/>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仿宋_GB2312" w:hAnsi="仿宋_GB2312" w:eastAsia="仿宋_GB2312" w:cs="仿宋_GB2312"/>
          <w:b/>
          <w:bCs/>
          <w:sz w:val="32"/>
          <w:szCs w:val="32"/>
        </w:rPr>
      </w:pPr>
    </w:p>
    <w:p>
      <w:pPr>
        <w:keepNext w:val="0"/>
        <w:keepLines w:val="0"/>
        <w:pageBreakBefore w:val="0"/>
        <w:widowControl w:val="0"/>
        <w:kinsoku/>
        <w:wordWrap w:val="0"/>
        <w:overflowPunct/>
        <w:topLinePunct w:val="0"/>
        <w:autoSpaceDE/>
        <w:autoSpaceDN/>
        <w:bidi w:val="0"/>
        <w:ind w:firstLine="640" w:firstLineChars="200"/>
        <w:textAlignment w:val="auto"/>
        <w:rPr>
          <w:rFonts w:hint="eastAsia" w:ascii="仿宋_GB2312" w:eastAsia="仿宋_GB2312"/>
          <w:sz w:val="32"/>
          <w:szCs w:val="32"/>
        </w:rPr>
      </w:pPr>
      <w:r>
        <w:rPr>
          <w:rFonts w:hint="eastAsia" w:ascii="仿宋_GB2312" w:eastAsia="仿宋_GB2312"/>
          <w:sz w:val="32"/>
          <w:szCs w:val="32"/>
        </w:rPr>
        <w:t>本授权书声明：</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none"/>
          <w:lang w:val="en-US" w:eastAsia="zh-CN"/>
        </w:rPr>
        <w:t>（公司名称）</w:t>
      </w:r>
      <w:r>
        <w:rPr>
          <w:rFonts w:hint="eastAsia" w:ascii="仿宋_GB2312" w:eastAsia="仿宋_GB2312"/>
          <w:sz w:val="32"/>
          <w:szCs w:val="32"/>
        </w:rPr>
        <w:t>法</w:t>
      </w:r>
      <w:r>
        <w:rPr>
          <w:rFonts w:hint="eastAsia" w:ascii="仿宋_GB2312" w:eastAsia="仿宋_GB2312"/>
          <w:sz w:val="32"/>
          <w:szCs w:val="32"/>
          <w:lang w:val="en-US" w:eastAsia="zh-CN"/>
        </w:rPr>
        <w:t>定代表人</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none"/>
          <w:lang w:val="en-US" w:eastAsia="zh-CN"/>
        </w:rPr>
        <w:t>（姓名）</w:t>
      </w:r>
      <w:r>
        <w:rPr>
          <w:rFonts w:hint="eastAsia" w:ascii="仿宋_GB2312" w:eastAsia="仿宋_GB2312"/>
          <w:sz w:val="32"/>
          <w:szCs w:val="32"/>
        </w:rPr>
        <w:t>，代表本</w:t>
      </w:r>
      <w:r>
        <w:rPr>
          <w:rFonts w:hint="eastAsia" w:ascii="仿宋_GB2312" w:eastAsia="仿宋_GB2312"/>
          <w:sz w:val="32"/>
          <w:szCs w:val="32"/>
          <w:lang w:val="en-US" w:eastAsia="zh-CN"/>
        </w:rPr>
        <w:t>公司</w:t>
      </w:r>
      <w:r>
        <w:rPr>
          <w:rFonts w:hint="eastAsia" w:ascii="仿宋_GB2312" w:eastAsia="仿宋_GB2312"/>
          <w:sz w:val="32"/>
          <w:szCs w:val="32"/>
        </w:rPr>
        <w:t>授权</w:t>
      </w:r>
      <w:r>
        <w:rPr>
          <w:rFonts w:hint="eastAsia" w:ascii="仿宋_GB2312" w:eastAsia="仿宋_GB2312"/>
          <w:sz w:val="32"/>
          <w:szCs w:val="32"/>
          <w:u w:val="single"/>
          <w:lang w:val="en-US" w:eastAsia="zh-CN"/>
        </w:rPr>
        <w:t xml:space="preserve">        </w:t>
      </w:r>
      <w:r>
        <w:rPr>
          <w:rFonts w:hint="eastAsia" w:ascii="仿宋_GB2312" w:eastAsia="仿宋_GB2312"/>
          <w:sz w:val="32"/>
          <w:szCs w:val="32"/>
          <w:lang w:eastAsia="zh-CN"/>
        </w:rPr>
        <w:t>（</w:t>
      </w:r>
      <w:r>
        <w:rPr>
          <w:rFonts w:hint="eastAsia" w:ascii="仿宋_GB2312" w:eastAsia="仿宋_GB2312"/>
          <w:sz w:val="32"/>
          <w:szCs w:val="32"/>
          <w:lang w:val="en-US" w:eastAsia="zh-CN"/>
        </w:rPr>
        <w:t>姓名）为</w:t>
      </w:r>
      <w:r>
        <w:rPr>
          <w:rFonts w:hint="eastAsia" w:ascii="仿宋_GB2312" w:eastAsia="仿宋_GB2312"/>
          <w:sz w:val="32"/>
          <w:szCs w:val="32"/>
        </w:rPr>
        <w:t>本</w:t>
      </w:r>
      <w:r>
        <w:rPr>
          <w:rFonts w:hint="eastAsia" w:ascii="仿宋_GB2312" w:eastAsia="仿宋_GB2312"/>
          <w:sz w:val="32"/>
          <w:szCs w:val="32"/>
          <w:lang w:val="en-US" w:eastAsia="zh-CN"/>
        </w:rPr>
        <w:t>公司</w:t>
      </w:r>
      <w:r>
        <w:rPr>
          <w:rFonts w:hint="eastAsia" w:ascii="仿宋_GB2312" w:eastAsia="仿宋_GB2312"/>
          <w:sz w:val="32"/>
          <w:szCs w:val="32"/>
        </w:rPr>
        <w:t>的合法代理人，参加</w:t>
      </w:r>
      <w:r>
        <w:rPr>
          <w:rFonts w:hint="eastAsia" w:ascii="仿宋_GB2312" w:eastAsia="仿宋_GB2312"/>
          <w:sz w:val="32"/>
          <w:szCs w:val="32"/>
          <w:lang w:val="en-US" w:eastAsia="zh-CN"/>
        </w:rPr>
        <w:t>威海市立第三医院</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none"/>
          <w:lang w:val="en-US" w:eastAsia="zh-CN"/>
        </w:rPr>
        <w:t>（项目编号）项目的论证，并</w:t>
      </w:r>
      <w:r>
        <w:rPr>
          <w:rFonts w:hint="eastAsia" w:ascii="仿宋_GB2312" w:eastAsia="仿宋_GB2312"/>
          <w:sz w:val="32"/>
          <w:szCs w:val="32"/>
        </w:rPr>
        <w:t>以本</w:t>
      </w:r>
      <w:r>
        <w:rPr>
          <w:rFonts w:hint="eastAsia" w:ascii="仿宋_GB2312" w:eastAsia="仿宋_GB2312"/>
          <w:sz w:val="32"/>
          <w:szCs w:val="32"/>
          <w:lang w:val="en-US" w:eastAsia="zh-CN"/>
        </w:rPr>
        <w:t>公司</w:t>
      </w:r>
      <w:r>
        <w:rPr>
          <w:rFonts w:hint="eastAsia" w:ascii="仿宋_GB2312" w:eastAsia="仿宋_GB2312"/>
          <w:sz w:val="32"/>
          <w:szCs w:val="32"/>
        </w:rPr>
        <w:t>名义处理一切与之有关的事宜。</w:t>
      </w:r>
    </w:p>
    <w:p>
      <w:pPr>
        <w:keepNext w:val="0"/>
        <w:keepLines w:val="0"/>
        <w:pageBreakBefore w:val="0"/>
        <w:widowControl w:val="0"/>
        <w:kinsoku/>
        <w:wordWrap w:val="0"/>
        <w:overflowPunct/>
        <w:topLinePunct w:val="0"/>
        <w:autoSpaceDE/>
        <w:autoSpaceDN/>
        <w:bidi w:val="0"/>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本公司已充分理解本项目</w:t>
      </w:r>
      <w:r>
        <w:rPr>
          <w:rFonts w:hint="eastAsia" w:ascii="仿宋_GB2312" w:eastAsia="仿宋_GB2312"/>
          <w:sz w:val="32"/>
          <w:szCs w:val="32"/>
          <w:u w:val="none"/>
          <w:lang w:val="en-US" w:eastAsia="zh-CN"/>
        </w:rPr>
        <w:t>邀请函的</w:t>
      </w:r>
      <w:r>
        <w:rPr>
          <w:rFonts w:hint="eastAsia" w:ascii="仿宋_GB2312" w:eastAsia="仿宋_GB2312"/>
          <w:sz w:val="32"/>
          <w:szCs w:val="32"/>
          <w:lang w:val="en-US" w:eastAsia="zh-CN"/>
        </w:rPr>
        <w:t>全部内容，并承担因理解错误所导致的不利后果。</w:t>
      </w:r>
    </w:p>
    <w:p>
      <w:pPr>
        <w:pStyle w:val="7"/>
        <w:keepNext w:val="0"/>
        <w:keepLines w:val="0"/>
        <w:pageBreakBefore w:val="0"/>
        <w:widowControl w:val="0"/>
        <w:kinsoku/>
        <w:wordWrap w:val="0"/>
        <w:overflowPunct/>
        <w:topLinePunct w:val="0"/>
        <w:autoSpaceDE/>
        <w:autoSpaceDN/>
        <w:bidi w:val="0"/>
        <w:adjustRightInd w:val="0"/>
        <w:snapToGrid w:val="0"/>
        <w:spacing w:line="500" w:lineRule="exact"/>
        <w:ind w:firstLine="627" w:firstLineChars="196"/>
        <w:textAlignment w:val="auto"/>
        <w:rPr>
          <w:rFonts w:hint="eastAsia" w:ascii="仿宋_GB2312" w:hAnsi="仿宋_GB2312" w:eastAsia="仿宋_GB2312" w:cs="仿宋_GB2312"/>
          <w:sz w:val="32"/>
          <w:szCs w:val="32"/>
        </w:rPr>
      </w:pPr>
    </w:p>
    <w:p>
      <w:pPr>
        <w:pStyle w:val="7"/>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w:t>
      </w:r>
      <w:r>
        <w:rPr>
          <w:rFonts w:hint="eastAsia" w:ascii="仿宋_GB2312" w:hAnsi="仿宋_GB2312" w:eastAsia="仿宋_GB2312" w:cs="仿宋_GB2312"/>
          <w:sz w:val="32"/>
          <w:szCs w:val="32"/>
          <w:lang w:val="en-US" w:eastAsia="zh-CN"/>
        </w:rPr>
        <w:t>定</w:t>
      </w:r>
      <w:r>
        <w:rPr>
          <w:rFonts w:hint="eastAsia" w:ascii="仿宋_GB2312" w:hAnsi="仿宋_GB2312" w:eastAsia="仿宋_GB2312" w:cs="仿宋_GB2312"/>
          <w:sz w:val="32"/>
          <w:szCs w:val="32"/>
        </w:rPr>
        <w:t>代表</w:t>
      </w:r>
      <w:r>
        <w:rPr>
          <w:rFonts w:hint="eastAsia" w:ascii="仿宋_GB2312" w:hAnsi="仿宋_GB2312" w:eastAsia="仿宋_GB2312" w:cs="仿宋_GB2312"/>
          <w:sz w:val="32"/>
          <w:szCs w:val="32"/>
          <w:lang w:val="en-US" w:eastAsia="zh-CN"/>
        </w:rPr>
        <w:t>人</w:t>
      </w:r>
      <w:r>
        <w:rPr>
          <w:rFonts w:hint="eastAsia" w:ascii="仿宋_GB2312" w:hAnsi="仿宋_GB2312" w:eastAsia="仿宋_GB2312" w:cs="仿宋_GB2312"/>
          <w:sz w:val="32"/>
          <w:szCs w:val="32"/>
        </w:rPr>
        <w:t>签字：</w:t>
      </w:r>
      <w:r>
        <w:rPr>
          <w:rFonts w:hint="eastAsia" w:ascii="仿宋_GB2312" w:hAnsi="仿宋_GB2312" w:eastAsia="仿宋_GB2312" w:cs="仿宋_GB2312"/>
          <w:sz w:val="32"/>
          <w:szCs w:val="32"/>
          <w:u w:val="single"/>
        </w:rPr>
        <w:t xml:space="preserve">              </w:t>
      </w:r>
    </w:p>
    <w:p>
      <w:pPr>
        <w:pStyle w:val="7"/>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u w:val="single"/>
          <w:lang w:val="en-US" w:eastAsia="zh-CN"/>
        </w:rPr>
        <w:t>授权单位在此处盖章</w:t>
      </w:r>
      <w:r>
        <w:rPr>
          <w:rFonts w:hint="eastAsia" w:ascii="仿宋_GB2312" w:hAnsi="仿宋_GB2312" w:eastAsia="仿宋_GB2312" w:cs="仿宋_GB2312"/>
          <w:sz w:val="32"/>
          <w:szCs w:val="32"/>
          <w:lang w:val="en-US" w:eastAsia="zh-CN"/>
        </w:rPr>
        <w:t>）</w:t>
      </w:r>
    </w:p>
    <w:p>
      <w:pPr>
        <w:pStyle w:val="7"/>
        <w:keepNext w:val="0"/>
        <w:keepLines w:val="0"/>
        <w:pageBreakBefore w:val="0"/>
        <w:widowControl w:val="0"/>
        <w:kinsoku/>
        <w:wordWrap w:val="0"/>
        <w:overflowPunct/>
        <w:topLinePunct w:val="0"/>
        <w:autoSpaceDE/>
        <w:autoSpaceDN/>
        <w:bidi w:val="0"/>
        <w:adjustRightInd w:val="0"/>
        <w:snapToGrid w:val="0"/>
        <w:spacing w:line="500" w:lineRule="exact"/>
        <w:ind w:firstLine="320" w:firstLineChars="10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被授权人签字：</w:t>
      </w:r>
      <w:r>
        <w:rPr>
          <w:rFonts w:hint="eastAsia" w:ascii="仿宋_GB2312" w:hAnsi="仿宋_GB2312" w:eastAsia="仿宋_GB2312" w:cs="仿宋_GB2312"/>
          <w:sz w:val="32"/>
          <w:szCs w:val="32"/>
          <w:u w:val="single"/>
        </w:rPr>
        <w:t xml:space="preserve">              </w:t>
      </w:r>
    </w:p>
    <w:p>
      <w:pPr>
        <w:pStyle w:val="7"/>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仿宋_GB2312" w:hAnsi="仿宋_GB2312" w:eastAsia="仿宋_GB2312" w:cs="仿宋_GB2312"/>
          <w:sz w:val="32"/>
          <w:szCs w:val="32"/>
        </w:rPr>
      </w:pPr>
    </w:p>
    <w:p>
      <w:pPr>
        <w:pStyle w:val="7"/>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被授权人身份证复印件粘贴于下框：</w:t>
      </w:r>
    </w:p>
    <w:tbl>
      <w:tblPr>
        <w:tblStyle w:val="1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0" w:hRule="atLeast"/>
        </w:trPr>
        <w:tc>
          <w:tcPr>
            <w:tcW w:w="8522" w:type="dxa"/>
          </w:tcPr>
          <w:p>
            <w:pPr>
              <w:pStyle w:val="7"/>
              <w:keepNext w:val="0"/>
              <w:keepLines w:val="0"/>
              <w:suppressLineNumbers w:val="0"/>
              <w:adjustRightInd w:val="0"/>
              <w:snapToGrid w:val="0"/>
              <w:spacing w:before="0" w:beforeAutospacing="0" w:after="0" w:afterAutospacing="0" w:line="500" w:lineRule="exact"/>
              <w:ind w:left="0" w:right="0"/>
              <w:rPr>
                <w:rFonts w:hint="eastAsia" w:ascii="仿宋_GB2312" w:hAnsi="仿宋_GB2312" w:eastAsia="仿宋_GB2312" w:cs="仿宋_GB2312"/>
                <w:sz w:val="32"/>
                <w:szCs w:val="32"/>
                <w:vertAlign w:val="baseline"/>
                <w:lang w:val="en-US" w:eastAsia="zh-CN"/>
              </w:rPr>
            </w:pPr>
          </w:p>
        </w:tc>
      </w:tr>
    </w:tbl>
    <w:p>
      <w:pPr>
        <w:rPr>
          <w:rFonts w:hint="eastAsia" w:ascii="仿宋_GB2312" w:hAnsi="仿宋_GB2312" w:eastAsia="仿宋_GB2312" w:cs="仿宋_GB2312"/>
          <w:b w:val="0"/>
          <w:bCs/>
          <w:sz w:val="32"/>
          <w:szCs w:val="32"/>
          <w:lang w:val="en-US" w:eastAsia="zh-CN"/>
        </w:rPr>
        <w:sectPr>
          <w:pgSz w:w="11906" w:h="16838"/>
          <w:pgMar w:top="1440" w:right="1803" w:bottom="1440" w:left="1803" w:header="851" w:footer="992" w:gutter="0"/>
          <w:cols w:space="0" w:num="1"/>
          <w:rtlGutter w:val="0"/>
          <w:docGrid w:type="lines" w:linePitch="332" w:charSpace="0"/>
        </w:sectPr>
      </w:pPr>
      <w:r>
        <w:rPr>
          <w:rFonts w:hint="eastAsia" w:ascii="仿宋_GB2312" w:hAnsi="仿宋_GB2312" w:eastAsia="仿宋_GB2312" w:cs="仿宋_GB2312"/>
          <w:b w:val="0"/>
          <w:bCs/>
          <w:sz w:val="32"/>
          <w:szCs w:val="32"/>
          <w:lang w:val="en-US" w:eastAsia="zh-CN"/>
        </w:rPr>
        <w:br w:type="page"/>
      </w:r>
    </w:p>
    <w:p>
      <w:pPr>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附件3</w:t>
      </w:r>
    </w:p>
    <w:p>
      <w:pPr>
        <w:keepNext w:val="0"/>
        <w:keepLines w:val="0"/>
        <w:pageBreakBefore w:val="0"/>
        <w:widowControl w:val="0"/>
        <w:kinsoku/>
        <w:overflowPunct/>
        <w:topLinePunct w:val="0"/>
        <w:autoSpaceDE/>
        <w:autoSpaceDN/>
        <w:bidi w:val="0"/>
        <w:snapToGrid w:val="0"/>
        <w:spacing w:line="360" w:lineRule="auto"/>
        <w:jc w:val="center"/>
        <w:textAlignment w:val="auto"/>
        <w:rPr>
          <w:rFonts w:hint="eastAsia" w:ascii="仿宋_GB2312" w:hAnsi="仿宋_GB2312" w:eastAsia="仿宋_GB2312" w:cs="仿宋_GB2312"/>
          <w:b/>
          <w:bCs/>
          <w:color w:val="auto"/>
          <w:sz w:val="44"/>
          <w:szCs w:val="44"/>
          <w:lang w:val="en-US" w:eastAsia="zh-CN"/>
        </w:rPr>
      </w:pPr>
      <w:r>
        <w:rPr>
          <w:rFonts w:hint="eastAsia" w:ascii="仿宋_GB2312" w:hAnsi="仿宋_GB2312" w:eastAsia="仿宋_GB2312" w:cs="仿宋_GB2312"/>
          <w:b/>
          <w:bCs/>
          <w:color w:val="auto"/>
          <w:sz w:val="44"/>
          <w:szCs w:val="44"/>
          <w:lang w:val="en-US" w:eastAsia="zh-CN"/>
        </w:rPr>
        <w:t>报价单</w:t>
      </w:r>
    </w:p>
    <w:tbl>
      <w:tblPr>
        <w:tblStyle w:val="14"/>
        <w:tblW w:w="13935" w:type="dxa"/>
        <w:tblInd w:w="1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0"/>
        <w:gridCol w:w="2760"/>
        <w:gridCol w:w="1350"/>
        <w:gridCol w:w="3075"/>
        <w:gridCol w:w="930"/>
        <w:gridCol w:w="2175"/>
        <w:gridCol w:w="18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trPr>
        <w:tc>
          <w:tcPr>
            <w:tcW w:w="1830"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小项编号</w:t>
            </w:r>
          </w:p>
        </w:tc>
        <w:tc>
          <w:tcPr>
            <w:tcW w:w="2760"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名称</w:t>
            </w:r>
          </w:p>
        </w:tc>
        <w:tc>
          <w:tcPr>
            <w:tcW w:w="1350"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版本号</w:t>
            </w:r>
          </w:p>
        </w:tc>
        <w:tc>
          <w:tcPr>
            <w:tcW w:w="307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开发商</w:t>
            </w:r>
          </w:p>
        </w:tc>
        <w:tc>
          <w:tcPr>
            <w:tcW w:w="930"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数量</w:t>
            </w:r>
          </w:p>
        </w:tc>
        <w:tc>
          <w:tcPr>
            <w:tcW w:w="217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免费质保+升级期</w:t>
            </w:r>
          </w:p>
        </w:tc>
        <w:tc>
          <w:tcPr>
            <w:tcW w:w="181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b w:val="0"/>
                <w:bCs w:val="0"/>
                <w:sz w:val="24"/>
                <w:szCs w:val="24"/>
                <w:vertAlign w:val="baseline"/>
                <w:lang w:val="en-US" w:eastAsia="zh-CN"/>
              </w:rPr>
            </w:pPr>
            <w:r>
              <w:rPr>
                <w:rFonts w:hint="eastAsia" w:ascii="仿宋_GB2312" w:hAnsi="仿宋_GB2312" w:eastAsia="仿宋_GB2312" w:cs="仿宋_GB2312"/>
                <w:b w:val="0"/>
                <w:bCs w:val="0"/>
                <w:sz w:val="24"/>
                <w:szCs w:val="24"/>
                <w:vertAlign w:val="baseline"/>
                <w:lang w:val="en-US" w:eastAsia="zh-CN"/>
              </w:rPr>
              <w:t>价格（万元）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trPr>
        <w:tc>
          <w:tcPr>
            <w:tcW w:w="1830"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tc>
        <w:tc>
          <w:tcPr>
            <w:tcW w:w="2760"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tc>
        <w:tc>
          <w:tcPr>
            <w:tcW w:w="1350"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tc>
        <w:tc>
          <w:tcPr>
            <w:tcW w:w="307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tc>
        <w:tc>
          <w:tcPr>
            <w:tcW w:w="930"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1套</w:t>
            </w:r>
          </w:p>
        </w:tc>
        <w:tc>
          <w:tcPr>
            <w:tcW w:w="217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tc>
        <w:tc>
          <w:tcPr>
            <w:tcW w:w="181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tc>
      </w:tr>
    </w:tbl>
    <w:p>
      <w:pPr>
        <w:jc w:val="both"/>
        <w:rPr>
          <w:rFonts w:hint="eastAsia" w:ascii="仿宋_GB2312" w:hAnsi="仿宋_GB2312" w:eastAsia="仿宋_GB2312" w:cs="仿宋_GB2312"/>
          <w:color w:val="auto"/>
          <w:sz w:val="28"/>
          <w:szCs w:val="28"/>
          <w:lang w:val="en-US" w:eastAsia="zh-CN"/>
        </w:rPr>
      </w:pPr>
    </w:p>
    <w:p>
      <w:pPr>
        <w:jc w:val="both"/>
        <w:rPr>
          <w:rFonts w:hint="eastAsia"/>
          <w:lang w:val="en-US" w:eastAsia="zh-CN"/>
        </w:rPr>
      </w:pPr>
      <w:r>
        <w:rPr>
          <w:rFonts w:hint="eastAsia" w:ascii="仿宋_GB2312" w:hAnsi="仿宋_GB2312" w:eastAsia="仿宋_GB2312" w:cs="仿宋_GB2312"/>
          <w:color w:val="auto"/>
          <w:sz w:val="28"/>
          <w:szCs w:val="28"/>
          <w:lang w:val="en-US" w:eastAsia="zh-CN"/>
        </w:rPr>
        <w:t>硬件的配置说明（如有）：</w:t>
      </w:r>
    </w:p>
    <w:p>
      <w:pPr>
        <w:jc w:val="both"/>
        <w:rPr>
          <w:rFonts w:hint="eastAsia" w:ascii="仿宋_GB2312" w:hAnsi="仿宋_GB2312" w:eastAsia="仿宋_GB2312" w:cs="仿宋_GB2312"/>
          <w:color w:val="auto"/>
          <w:sz w:val="28"/>
          <w:szCs w:val="28"/>
          <w:lang w:val="en-US" w:eastAsia="zh-CN"/>
        </w:rPr>
      </w:pPr>
    </w:p>
    <w:p>
      <w:pPr>
        <w:jc w:val="both"/>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对于报价的细化与追加说明（如有）：</w:t>
      </w:r>
    </w:p>
    <w:p>
      <w:pPr>
        <w:rPr>
          <w:rFonts w:hint="eastAsia" w:ascii="仿宋_GB2312" w:hAnsi="仿宋_GB2312" w:eastAsia="仿宋_GB2312" w:cs="仿宋_GB2312"/>
          <w:b w:val="0"/>
          <w:bCs w:val="0"/>
          <w:color w:val="auto"/>
          <w:sz w:val="32"/>
          <w:szCs w:val="32"/>
          <w:lang w:val="en-US" w:eastAsia="zh-CN"/>
        </w:rPr>
      </w:pPr>
    </w:p>
    <w:p>
      <w:pPr>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参与供应商盖章：</w:t>
      </w:r>
    </w:p>
    <w:p>
      <w:pPr>
        <w:rPr>
          <w:rFonts w:hint="eastAsia" w:ascii="仿宋_GB2312" w:hAnsi="仿宋_GB2312" w:eastAsia="仿宋_GB2312" w:cs="仿宋_GB2312"/>
          <w:b w:val="0"/>
          <w:bCs w:val="0"/>
          <w:color w:val="auto"/>
          <w:sz w:val="32"/>
          <w:szCs w:val="32"/>
          <w:lang w:val="en-US" w:eastAsia="zh-CN"/>
        </w:rPr>
        <w:sectPr>
          <w:pgSz w:w="16838" w:h="11906" w:orient="landscape"/>
          <w:pgMar w:top="1803" w:right="1440" w:bottom="1803" w:left="1440" w:header="851" w:footer="992" w:gutter="0"/>
          <w:cols w:space="0" w:num="1"/>
          <w:rtlGutter w:val="0"/>
          <w:docGrid w:type="lines" w:linePitch="332" w:charSpace="0"/>
        </w:sectPr>
      </w:pPr>
    </w:p>
    <w:p>
      <w:pPr>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附件4</w:t>
      </w:r>
    </w:p>
    <w:p>
      <w:pPr>
        <w:jc w:val="center"/>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44"/>
          <w:szCs w:val="44"/>
          <w:lang w:val="en-US" w:eastAsia="zh-CN"/>
        </w:rPr>
        <w:t>同类服务/产品应用情况表</w:t>
      </w:r>
    </w:p>
    <w:tbl>
      <w:tblPr>
        <w:tblStyle w:val="14"/>
        <w:tblpPr w:leftFromText="180" w:rightFromText="180" w:vertAnchor="text" w:horzAnchor="page" w:tblpX="1697" w:tblpY="146"/>
        <w:tblOverlap w:val="never"/>
        <w:tblW w:w="87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3240"/>
        <w:gridCol w:w="1410"/>
        <w:gridCol w:w="1485"/>
        <w:gridCol w:w="1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序号</w:t>
            </w:r>
          </w:p>
        </w:tc>
        <w:tc>
          <w:tcPr>
            <w:tcW w:w="3240"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同类服务/产品采购单位</w:t>
            </w:r>
          </w:p>
        </w:tc>
        <w:tc>
          <w:tcPr>
            <w:tcW w:w="1410"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采购年度</w:t>
            </w:r>
          </w:p>
        </w:tc>
        <w:tc>
          <w:tcPr>
            <w:tcW w:w="148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联系人</w:t>
            </w:r>
          </w:p>
        </w:tc>
        <w:tc>
          <w:tcPr>
            <w:tcW w:w="190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705" w:type="dxa"/>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sz w:val="24"/>
                <w:szCs w:val="24"/>
                <w:vertAlign w:val="baseline"/>
                <w:lang w:val="en-US" w:eastAsia="zh-CN"/>
              </w:rPr>
            </w:pPr>
          </w:p>
        </w:tc>
        <w:tc>
          <w:tcPr>
            <w:tcW w:w="324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10"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48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c>
          <w:tcPr>
            <w:tcW w:w="1905" w:type="dxa"/>
            <w:vAlign w:val="center"/>
          </w:tcPr>
          <w:p>
            <w:pPr>
              <w:keepNext w:val="0"/>
              <w:keepLines w:val="0"/>
              <w:suppressLineNumbers w:val="0"/>
              <w:spacing w:before="0" w:beforeAutospacing="0" w:after="0" w:afterAutospacing="0"/>
              <w:ind w:left="0" w:right="0"/>
              <w:jc w:val="both"/>
              <w:rPr>
                <w:rFonts w:hint="eastAsia" w:ascii="仿宋_GB2312" w:hAnsi="仿宋_GB2312" w:eastAsia="仿宋_GB2312" w:cs="仿宋_GB2312"/>
                <w:sz w:val="24"/>
                <w:szCs w:val="24"/>
                <w:vertAlign w:val="baseline"/>
                <w:lang w:val="en-US" w:eastAsia="zh-CN"/>
              </w:rPr>
            </w:pPr>
          </w:p>
        </w:tc>
      </w:tr>
    </w:tbl>
    <w:p>
      <w:pPr>
        <w:rPr>
          <w:rFonts w:hint="eastAsia" w:ascii="仿宋_GB2312" w:hAnsi="仿宋_GB2312" w:eastAsia="仿宋_GB2312" w:cs="仿宋_GB2312"/>
          <w:b w:val="0"/>
          <w:bCs w:val="0"/>
          <w:sz w:val="28"/>
          <w:szCs w:val="28"/>
          <w:lang w:val="en-US" w:eastAsia="zh-CN"/>
        </w:rPr>
      </w:pPr>
    </w:p>
    <w:p>
      <w:pPr>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供应商盖章：</w:t>
      </w:r>
    </w:p>
    <w:p>
      <w:pPr>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br w:type="page"/>
      </w:r>
    </w:p>
    <w:p>
      <w:pPr>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附件5</w:t>
      </w:r>
    </w:p>
    <w:p>
      <w:pPr>
        <w:keepNext w:val="0"/>
        <w:keepLines w:val="0"/>
        <w:pageBreakBefore w:val="0"/>
        <w:widowControl w:val="0"/>
        <w:kinsoku/>
        <w:overflowPunct/>
        <w:topLinePunct w:val="0"/>
        <w:autoSpaceDE/>
        <w:autoSpaceDN/>
        <w:bidi w:val="0"/>
        <w:snapToGrid w:val="0"/>
        <w:spacing w:line="360" w:lineRule="auto"/>
        <w:jc w:val="center"/>
        <w:textAlignment w:val="auto"/>
        <w:rPr>
          <w:rFonts w:hint="eastAsia" w:ascii="仿宋_GB2312" w:hAnsi="仿宋_GB2312" w:eastAsia="仿宋_GB2312" w:cs="仿宋_GB2312"/>
          <w:b/>
          <w:bCs/>
          <w:color w:val="auto"/>
          <w:sz w:val="44"/>
          <w:szCs w:val="44"/>
          <w:lang w:val="en-US" w:eastAsia="zh-CN"/>
        </w:rPr>
      </w:pPr>
      <w:r>
        <w:rPr>
          <w:rFonts w:hint="eastAsia" w:ascii="仿宋_GB2312" w:hAnsi="仿宋_GB2312" w:eastAsia="仿宋_GB2312" w:cs="仿宋_GB2312"/>
          <w:b/>
          <w:bCs/>
          <w:color w:val="auto"/>
          <w:sz w:val="44"/>
          <w:szCs w:val="44"/>
          <w:lang w:val="en-US" w:eastAsia="zh-CN"/>
        </w:rPr>
        <w:t>反统方系统与企业版杀毒软件基本要求</w:t>
      </w:r>
    </w:p>
    <w:p>
      <w:pPr>
        <w:keepNext w:val="0"/>
        <w:keepLines w:val="0"/>
        <w:pageBreakBefore w:val="0"/>
        <w:widowControl w:val="0"/>
        <w:kinsoku/>
        <w:wordWrap/>
        <w:overflowPunct/>
        <w:topLinePunct w:val="0"/>
        <w:autoSpaceDE/>
        <w:autoSpaceDN/>
        <w:bidi w:val="0"/>
        <w:snapToGrid w:val="0"/>
        <w:spacing w:before="120" w:after="0" w:line="240" w:lineRule="auto"/>
        <w:ind w:firstLine="640"/>
        <w:textAlignment w:val="auto"/>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eastAsia="zh-CN"/>
        </w:rPr>
        <w:t>一、项目概述</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为落实大型医院巡查反馈问题整改，加强统方行为管控和全院终端安全防护，我院将对“反统方系统”与“企业版杀毒软件”进行采购。反统方系统通过对访问敏感数据库的网络流量进行采集、解析与甄别，及时发现并告警疑似非法统方行为，为医院纪委监察部门提供独立、可追溯的监管手段；企业版杀毒软件用于对全院终端与服务器提供统一病毒防护，实现杀毒软件正版化全覆盖。</w:t>
      </w:r>
    </w:p>
    <w:p>
      <w:pPr>
        <w:keepNext w:val="0"/>
        <w:keepLines w:val="0"/>
        <w:pageBreakBefore w:val="0"/>
        <w:widowControl w:val="0"/>
        <w:kinsoku/>
        <w:wordWrap/>
        <w:overflowPunct/>
        <w:topLinePunct w:val="0"/>
        <w:autoSpaceDE/>
        <w:autoSpaceDN/>
        <w:bidi w:val="0"/>
        <w:snapToGrid w:val="0"/>
        <w:spacing w:before="120" w:after="0" w:line="240" w:lineRule="auto"/>
        <w:ind w:firstLine="640"/>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二、采购内容</w:t>
      </w:r>
    </w:p>
    <w:tbl>
      <w:tblPr>
        <w:tblStyle w:val="14"/>
        <w:tblW w:w="881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701"/>
        <w:gridCol w:w="4196"/>
        <w:gridCol w:w="1020"/>
        <w:gridCol w:w="1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1701"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采购项</w:t>
            </w:r>
          </w:p>
        </w:tc>
        <w:tc>
          <w:tcPr>
            <w:tcW w:w="4196"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项目内容</w:t>
            </w:r>
          </w:p>
        </w:tc>
        <w:tc>
          <w:tcPr>
            <w:tcW w:w="1020"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数量</w:t>
            </w:r>
          </w:p>
        </w:tc>
        <w:tc>
          <w:tcPr>
            <w:tcW w:w="1220"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服务期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701"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反统方系统</w:t>
            </w:r>
          </w:p>
        </w:tc>
        <w:tc>
          <w:tcPr>
            <w:tcW w:w="4196"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软硬件一体化设备（含授权），旁路独立部署</w:t>
            </w:r>
          </w:p>
        </w:tc>
        <w:tc>
          <w:tcPr>
            <w:tcW w:w="1020"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1套</w:t>
            </w:r>
          </w:p>
        </w:tc>
        <w:tc>
          <w:tcPr>
            <w:tcW w:w="1220"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质保</w:t>
            </w:r>
            <w:r>
              <w:rPr>
                <w:rFonts w:hint="eastAsia" w:ascii="仿宋_GB2312" w:hAnsi="仿宋_GB2312" w:eastAsia="仿宋_GB2312" w:cs="仿宋_GB2312"/>
                <w:sz w:val="24"/>
                <w:szCs w:val="24"/>
                <w:lang w:eastAsia="zh-CN"/>
              </w:rPr>
              <w:t>至少</w:t>
            </w:r>
            <w:r>
              <w:rPr>
                <w:rFonts w:hint="eastAsia" w:ascii="仿宋_GB2312" w:hAnsi="仿宋_GB2312" w:eastAsia="仿宋_GB2312" w:cs="仿宋_GB2312"/>
                <w:sz w:val="24"/>
                <w:szCs w:val="24"/>
              </w:rPr>
              <w:t>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701"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企业版杀毒软件系统</w:t>
            </w:r>
          </w:p>
        </w:tc>
        <w:tc>
          <w:tcPr>
            <w:tcW w:w="4196"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内网：普通电脑：授权410台</w:t>
            </w:r>
          </w:p>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服务器端：授权windows授权70台，linux授权20台</w:t>
            </w:r>
          </w:p>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外网：</w:t>
            </w:r>
          </w:p>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普通电脑：150台</w:t>
            </w:r>
          </w:p>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服务器端：授权windows授权20台，linux授权10台</w:t>
            </w:r>
          </w:p>
        </w:tc>
        <w:tc>
          <w:tcPr>
            <w:tcW w:w="1020"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1项</w:t>
            </w:r>
          </w:p>
        </w:tc>
        <w:tc>
          <w:tcPr>
            <w:tcW w:w="1220"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病毒库3年升级，带3年维保</w:t>
            </w:r>
          </w:p>
        </w:tc>
      </w:tr>
    </w:tbl>
    <w:p>
      <w:pPr>
        <w:keepNext w:val="0"/>
        <w:keepLines w:val="0"/>
        <w:pageBreakBefore w:val="0"/>
        <w:widowControl w:val="0"/>
        <w:kinsoku/>
        <w:wordWrap/>
        <w:overflowPunct/>
        <w:topLinePunct w:val="0"/>
        <w:autoSpaceDE/>
        <w:autoSpaceDN/>
        <w:bidi w:val="0"/>
        <w:snapToGrid w:val="0"/>
        <w:spacing w:before="60"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企业版杀毒软件系统须实现对全院登记终端及各类服务器的统一防护，正版化率100%。投标人可就“升级现有系统”或“更换品牌整体替代”两种技术路线任选其一报价，方案须包含现有系统处置及策略，并承诺切换期间防护不间断。</w:t>
      </w:r>
    </w:p>
    <w:p>
      <w:pPr>
        <w:keepNext w:val="0"/>
        <w:keepLines w:val="0"/>
        <w:pageBreakBefore w:val="0"/>
        <w:widowControl w:val="0"/>
        <w:kinsoku/>
        <w:wordWrap/>
        <w:overflowPunct/>
        <w:topLinePunct w:val="0"/>
        <w:autoSpaceDE/>
        <w:autoSpaceDN/>
        <w:bidi w:val="0"/>
        <w:snapToGrid w:val="0"/>
        <w:spacing w:before="120" w:after="0" w:line="240" w:lineRule="auto"/>
        <w:ind w:firstLine="640"/>
        <w:textAlignment w:val="auto"/>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eastAsia="zh-CN"/>
        </w:rPr>
        <w:t>三、反统方（防统方）系统功能与技术要求</w:t>
      </w:r>
    </w:p>
    <w:p>
      <w:pPr>
        <w:keepNext w:val="0"/>
        <w:keepLines w:val="0"/>
        <w:pageBreakBefore w:val="0"/>
        <w:widowControl w:val="0"/>
        <w:kinsoku/>
        <w:wordWrap/>
        <w:overflowPunct/>
        <w:topLinePunct w:val="0"/>
        <w:autoSpaceDE/>
        <w:autoSpaceDN/>
        <w:bidi w:val="0"/>
        <w:snapToGrid w:val="0"/>
        <w:spacing w:before="60" w:after="0" w:line="240" w:lineRule="auto"/>
        <w:ind w:firstLine="640"/>
        <w:textAlignment w:val="auto"/>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eastAsia="zh-CN"/>
        </w:rPr>
        <w:t>（一）建设目标</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1.实现对药品、高值耗材用量信息统计行为的实时监测、告警与追溯，发现疑似非法统方行为能够定位到人、到终端、到具体操作语句。</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2.实现监督权与运维权分离，纪委监察部门独立掌握监控权与报表出具权，信息部门负责运行维护，规则修改需双方共同授权。</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3.在准确发现违规行为的同时，通过规则配置与字典对照等手段有效降低误报，不影响临床、药学、财务等科室的正常统计工作。</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4.满足等级保护三级对安全审计的要求，审计数据留存不少于6个月，可对接医院现有日志审计或安全管理平台。</w:t>
      </w:r>
    </w:p>
    <w:p>
      <w:pPr>
        <w:keepNext w:val="0"/>
        <w:keepLines w:val="0"/>
        <w:pageBreakBefore w:val="0"/>
        <w:widowControl w:val="0"/>
        <w:kinsoku/>
        <w:wordWrap/>
        <w:overflowPunct/>
        <w:topLinePunct w:val="0"/>
        <w:autoSpaceDE/>
        <w:autoSpaceDN/>
        <w:bidi w:val="0"/>
        <w:snapToGrid w:val="0"/>
        <w:spacing w:before="60" w:after="0" w:line="240" w:lineRule="auto"/>
        <w:ind w:firstLine="640"/>
        <w:textAlignment w:val="auto"/>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eastAsia="zh-CN"/>
        </w:rPr>
        <w:t>（二）部署方式与总体要求</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1.采用旁路部署方式，通过核心交换机端口镜像采集流量，不在数据库服务器、应用服务器及业务终端上安装任何代理程序，不改变现有网络拓扑，不对业务系统性能造成影响。</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2.支持独立采集与解析，不依赖数据库自身审计日志；支持在数据库审计功能关闭或日志被清理的情况下仍可正常取证。</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3.提供软硬件一体化设备1台，含所需授权，不限被审计数据库的实例数量（不少于10个）、不限客户端连接数、不限管理员账号数。</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4.供应商负责现场勘查、设备安装、网络对接、规则配置、药品与耗材字典导入、系统联调及用户培训，并完成与医院现有核心业务系统的适配。</w:t>
      </w:r>
    </w:p>
    <w:p>
      <w:pPr>
        <w:keepNext w:val="0"/>
        <w:keepLines w:val="0"/>
        <w:pageBreakBefore w:val="0"/>
        <w:widowControl w:val="0"/>
        <w:kinsoku/>
        <w:wordWrap/>
        <w:overflowPunct/>
        <w:topLinePunct w:val="0"/>
        <w:autoSpaceDE/>
        <w:autoSpaceDN/>
        <w:bidi w:val="0"/>
        <w:snapToGrid w:val="0"/>
        <w:spacing w:before="60" w:after="0" w:line="240" w:lineRule="auto"/>
        <w:ind w:firstLine="640"/>
        <w:textAlignment w:val="auto"/>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eastAsia="zh-CN"/>
        </w:rPr>
        <w:t>（三）功能要求</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sz w:val="24"/>
          <w:szCs w:val="24"/>
          <w:lang w:eastAsia="zh-CN"/>
        </w:rPr>
        <w:t>1.数据采集与解析。</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（1）支持对Oracle、SQL Server、MySQL、PostgreSQL、DB2、Cache等主流数据库的审计，并支持达梦、人大金仓、神通、南大通用等国产数据库。</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（2）支持对经加密方式建立的数据库连接进行分析，支持对绑定变量、存储过程、超长语句、嵌套查询、脚本等复杂语句的精准解析。</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（3）支持记录并还原客户端远程登录数据库服务器的操作（如RDP、SSH、Telnet等），记录客户端IP地址、MAC地址、服务器地址、登录账户与操作时间。</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（4）支持对数据库表结构的创建、修改、删除等高风险操作单独记录并告警。</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sz w:val="24"/>
          <w:szCs w:val="24"/>
          <w:lang w:eastAsia="zh-CN"/>
        </w:rPr>
        <w:t>2.统方行为识别与告警。</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（1）内置统方识别规则库，规则条数不少于500条，并支持用户自定义规则和按药品耗材名称、数量、金额等字段配置智能识别策略。</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（2）支持对统计类语句自动识别，能够解析出被统计的药品或耗材名称、统计时间范围、统计口径等关键要素，并生成中文说明，非专业人员可直接读懂。</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（3）告警内容至少包含：操作人姓名或工号、所属科室、客户端IP与MAC地址、使用的程序或工具名称、操作时间、完整SQL语句及其中文释义。</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（4）告警级别可分档设置（如紧急、重度、轻度、嫌疑），支持按药品耗材字典对照、统计日期跨度、语句执行结果等因素自动调整告警级别，抑制误报。</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（5）支持告警实时推送，通知方式包括短信、邮件、系统消息等，可设置接收人、接收时段和接收的告警类别；支持查看通知发送记录与送达状态。</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（6）从统方行为发生到产生告警的时延不大于5秒。</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（7）具备告警处置闭环功能，支持对告警进行核实、标注、归档，记录处理人与处理意见；未处理告警持续提醒。</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sz w:val="24"/>
          <w:szCs w:val="24"/>
          <w:lang w:eastAsia="zh-CN"/>
        </w:rPr>
        <w:t>3.统方申报与审批。</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（1）提供统方申报与审批模块，正常工作需要的统计由科室在线提出申请，注明用途、范围、期限，经审批后系统对相应行为自动标注为合法。</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（2）支持申报单查询、统计与导出，申报与审批过程全程留痕。</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sz w:val="24"/>
          <w:szCs w:val="24"/>
          <w:lang w:eastAsia="zh-CN"/>
        </w:rPr>
        <w:t>4.纪委监察独立监管。</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（1）提供独立的纪委监察操作界面，监控权与报表出具权归纪委监察部门所有，信息部门不得查看、修改纪委的审计结论与报表。</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（2）支持以日历图形方式展示任意时间段的告警情况，不同告警级别以不同颜色区分，点击可查看当日告警明细。</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（3）支持按时间、科室、人员、IP地址、药品名称等条件查询、统计和打印告警记录；支持生成药品（耗材）专项统计报表。</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（4）支持一键生成审计日报、月报、季报、年报，报表可导出为Excel或PDF格式，可直接用于存档和接受上级检查。</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（5）具备设备运行状态监控功能，能够记录设备断网、断电、关机的起止时间并主动告警，防止人为绕过监控。</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（6）支持查看设备数据采集与解析状态，包括采集流量、抓包数、处理数等指标，防止因更换服务器或交换机导致长期无监控数据。</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sz w:val="24"/>
          <w:szCs w:val="24"/>
          <w:lang w:eastAsia="zh-CN"/>
        </w:rPr>
        <w:t>5.管理与权限。</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（1）系统按三权分立设计，至少包含纪委监察、系统管理、信息中心三类角色，权限相互隔离；支持按角色、科室、院区设置细粒度访问权限。</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（2）登录管理端需同时使用纪委与信息中心双密码，防止单方私自修改审计规则。</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（3）支持IP地址登录控制，未经批准的终端不得登录系统。</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（4）支持药品（耗材）代码、名称、规格、生产厂家等字典的批量导入与自动同步。</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（5）具备完整的操作日志，记录所有登录、配置修改、规则调整、数据导出行为，日志不可篡改、不可删除。</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（6）支持审计数据定期自动备份与恢复，支持通过Syslog等方式将日志外送至医院现有日志审计或安全管理平台。</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（7）系统支持在线升级，升级过程不影响已有数据。</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sz w:val="24"/>
          <w:szCs w:val="24"/>
          <w:lang w:eastAsia="zh-CN"/>
        </w:rPr>
        <w:t>6.国产化与安全合规。</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（1）设备应采用国产化处理器和国产操作系统，适配信创技术路线，满足医院国产化替代与正版化要求。</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（2）系统自身应具备防篡改、防卸载能力，审计数据加密存储，管理通道支持加密传输。</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（3）涉及患者隐私信息的字段应支持脱敏处理，仅授权人员可查看完整语句内容。</w:t>
      </w:r>
    </w:p>
    <w:p>
      <w:pPr>
        <w:keepNext w:val="0"/>
        <w:keepLines w:val="0"/>
        <w:pageBreakBefore w:val="0"/>
        <w:widowControl w:val="0"/>
        <w:kinsoku/>
        <w:wordWrap/>
        <w:overflowPunct/>
        <w:topLinePunct w:val="0"/>
        <w:autoSpaceDE/>
        <w:autoSpaceDN/>
        <w:bidi w:val="0"/>
        <w:snapToGrid w:val="0"/>
        <w:spacing w:before="60" w:after="0" w:line="240" w:lineRule="auto"/>
        <w:ind w:firstLine="640"/>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（四）硬件配置与性能要求</w:t>
      </w:r>
    </w:p>
    <w:tbl>
      <w:tblPr>
        <w:tblStyle w:val="14"/>
        <w:tblW w:w="771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474"/>
        <w:gridCol w:w="55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1474"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w:t>
            </w:r>
          </w:p>
        </w:tc>
        <w:tc>
          <w:tcPr>
            <w:tcW w:w="5556"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474"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处理器</w:t>
            </w:r>
          </w:p>
        </w:tc>
        <w:tc>
          <w:tcPr>
            <w:tcW w:w="5556"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国产化处理器，物理核心数不少于8核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474"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内存</w:t>
            </w:r>
          </w:p>
        </w:tc>
        <w:tc>
          <w:tcPr>
            <w:tcW w:w="5556"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不小于16GB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1474"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存储</w:t>
            </w:r>
          </w:p>
        </w:tc>
        <w:tc>
          <w:tcPr>
            <w:tcW w:w="5556"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企业级硬盘不小于2TB，支持RAID1或RAID5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1474"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网络接口</w:t>
            </w:r>
          </w:p>
        </w:tc>
        <w:tc>
          <w:tcPr>
            <w:tcW w:w="5556"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千兆电口不少于6个，支持光口扩展，具备独立管理口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1474"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处理能力</w:t>
            </w:r>
          </w:p>
        </w:tc>
        <w:tc>
          <w:tcPr>
            <w:tcW w:w="5556"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可审计数据库实例不少于10个；SQL事务处理不低于1万条/秒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1474"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日志留存</w:t>
            </w:r>
          </w:p>
        </w:tc>
        <w:tc>
          <w:tcPr>
            <w:tcW w:w="5556"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在线日志留存不少于6个月，支持外置存储扩展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w:t>
            </w:r>
          </w:p>
        </w:tc>
        <w:tc>
          <w:tcPr>
            <w:tcW w:w="1474"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可靠性</w:t>
            </w:r>
          </w:p>
        </w:tc>
        <w:tc>
          <w:tcPr>
            <w:tcW w:w="5556"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支持双电源，支持配置自动备份与恢复</w:t>
            </w:r>
          </w:p>
        </w:tc>
      </w:tr>
    </w:tbl>
    <w:p>
      <w:pPr>
        <w:keepNext w:val="0"/>
        <w:keepLines w:val="0"/>
        <w:pageBreakBefore w:val="0"/>
        <w:widowControl w:val="0"/>
        <w:kinsoku/>
        <w:wordWrap/>
        <w:overflowPunct/>
        <w:topLinePunct w:val="0"/>
        <w:autoSpaceDE/>
        <w:autoSpaceDN/>
        <w:bidi w:val="0"/>
        <w:snapToGrid w:val="0"/>
        <w:spacing w:before="60"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说明：以上指标均为最低限值，允许优于或等于该指标的同等及以上配置参与。</w:t>
      </w:r>
    </w:p>
    <w:p>
      <w:pPr>
        <w:keepNext w:val="0"/>
        <w:keepLines w:val="0"/>
        <w:pageBreakBefore w:val="0"/>
        <w:widowControl w:val="0"/>
        <w:kinsoku/>
        <w:wordWrap/>
        <w:overflowPunct/>
        <w:topLinePunct w:val="0"/>
        <w:autoSpaceDE/>
        <w:autoSpaceDN/>
        <w:bidi w:val="0"/>
        <w:snapToGrid w:val="0"/>
        <w:spacing w:before="60" w:after="0" w:line="240" w:lineRule="auto"/>
        <w:ind w:firstLine="640"/>
        <w:textAlignment w:val="auto"/>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eastAsia="zh-CN"/>
        </w:rPr>
        <w:t>（五）资质与服务要求</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1.产品须具有相应软件著作权登记证书。</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2.免费质保期不少于3年，质保期内提供规则库更新、版本升级、故障响应与远程支持；质保期结束后，不得以授权到期为由限制系统登录与基本功能使用，供应商须就此出具书面承诺。</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3.提供7×24小时技术支持，重大故障4小时内响应、24小时内到场处理。</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4.提供不少于2次现场培训，分别面向纪委监察人员与信息科人员，并提供操作手册与维护文档。</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5.供应商须承诺配合医院等级保护测评、大型医院巡查及上级检查，按要求提供相关证明材料。</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6.质保期满后的年度服务费不高于合同总价的10%。</w:t>
      </w:r>
    </w:p>
    <w:p>
      <w:pPr>
        <w:keepNext w:val="0"/>
        <w:keepLines w:val="0"/>
        <w:pageBreakBefore w:val="0"/>
        <w:widowControl w:val="0"/>
        <w:kinsoku/>
        <w:wordWrap/>
        <w:overflowPunct/>
        <w:topLinePunct w:val="0"/>
        <w:autoSpaceDE/>
        <w:autoSpaceDN/>
        <w:bidi w:val="0"/>
        <w:snapToGrid w:val="0"/>
        <w:spacing w:before="120" w:after="0" w:line="240" w:lineRule="auto"/>
        <w:ind w:firstLine="640"/>
        <w:textAlignment w:val="auto"/>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eastAsia="zh-CN"/>
        </w:rPr>
        <w:t>四、企业版杀毒软件系统功能与技术要求</w:t>
      </w:r>
    </w:p>
    <w:p>
      <w:pPr>
        <w:keepNext w:val="0"/>
        <w:keepLines w:val="0"/>
        <w:pageBreakBefore w:val="0"/>
        <w:widowControl w:val="0"/>
        <w:kinsoku/>
        <w:wordWrap/>
        <w:overflowPunct/>
        <w:topLinePunct w:val="0"/>
        <w:autoSpaceDE/>
        <w:autoSpaceDN/>
        <w:bidi w:val="0"/>
        <w:snapToGrid w:val="0"/>
        <w:spacing w:before="60" w:after="0" w:line="240" w:lineRule="auto"/>
        <w:ind w:firstLine="640"/>
        <w:textAlignment w:val="auto"/>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eastAsia="zh-CN"/>
        </w:rPr>
        <w:t>（一）功能要求</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sz w:val="24"/>
          <w:szCs w:val="24"/>
          <w:lang w:eastAsia="zh-CN"/>
        </w:rPr>
        <w:t>1.病毒与恶意代码防护。</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（1）支持对病毒、木马、蠕虫、宏病毒、勒索软件、无文件攻击等各类恶意代码的检测与清除，查杀引擎不少于3种，支持启发式、行为式与基因特征检测。</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（2）支持实时文件监控、定时扫描、快速扫描、全盘扫描等多种扫描方式，支持按分组、按终端下发扫描策略。</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（3）具备勒索病毒专项防护能力，包括诱饵文件检测、关键目录防篡改、可信进程防护、远程登录认证加固等。</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（4）支持对感染文件的隔离、修复与恢复，支持文件黑白名单管理。</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（5）支持对移动存储设备、光盘、蓝牙、红外、串口等外设的使用管控，支持外设注册与违规使用告警。</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sz w:val="24"/>
          <w:szCs w:val="24"/>
          <w:lang w:eastAsia="zh-CN"/>
        </w:rPr>
        <w:t>2.主动防御与终端管控。</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（1）支持系统漏洞扫描与补丁修复管理，支持终端基线核查、弱口令检测、危险项修复。</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（2）支持违规外联检测、网络访问控制与终端准入管理。</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（3）支持资产自动发现与登记，形成全网终端资产清单，支持资产变更告警。</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（4）支持远程协助、远程桌面、软件与进程管理、IP与MAC地址绑定等运维功能。</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（5）支持终端分组策略管理，可按科室、院区设置差异化安全策略。</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sz w:val="24"/>
          <w:szCs w:val="24"/>
          <w:lang w:eastAsia="zh-CN"/>
        </w:rPr>
        <w:t>3.集中管理与告警报表。</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（1）提供统一的管理控制中心，支持全网终端状态、病毒库版本、健康度的集中展示。</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（2）支持分级分权管理，可按院区、科室设置管理员权限，操作全程留痕。</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（3）支持病毒事件、漏洞、外设使用、违规外联等日志的集中查询与导出，日志留存不少于6个月，支持Syslog外送。</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（4）支持自动生成日报、周报、月报与安全态势报表，支持邮件告警与消息推送。</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（5）支持与控制中心失联终端的离线策略执行与上线后同步。</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b/>
          <w:sz w:val="24"/>
          <w:szCs w:val="24"/>
          <w:lang w:eastAsia="zh-CN"/>
        </w:rPr>
        <w:t>4.兼容性与国产化适配。</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（1）客户端支持的操作系统至少包括Windows XP及以上各版本桌面系统、Windows Server 2008及以上各版本服务器系统。</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（2）支持主流Linux服务器操作系统，并支持银河麒麟、统信UOS等国产操作系统及国产处理器平台，满足医院国产化替代要求。</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（3）支持在虚拟化与超融合环境中部署，兼容我院现有服务器虚拟化平台。</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（4）提供多种部署方式，包括网页下载安装、离线安装包、域环境推送、准入重定向安装等，支持内网离线升级。</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（5）授权数量可扩展，后续新增终端可按需追加授权，单点授权价格不高于本次成交单价。</w:t>
      </w:r>
    </w:p>
    <w:p>
      <w:pPr>
        <w:keepNext w:val="0"/>
        <w:keepLines w:val="0"/>
        <w:pageBreakBefore w:val="0"/>
        <w:widowControl w:val="0"/>
        <w:kinsoku/>
        <w:wordWrap/>
        <w:overflowPunct/>
        <w:topLinePunct w:val="0"/>
        <w:autoSpaceDE/>
        <w:autoSpaceDN/>
        <w:bidi w:val="0"/>
        <w:snapToGrid w:val="0"/>
        <w:spacing w:before="60" w:after="0" w:line="240" w:lineRule="auto"/>
        <w:ind w:firstLine="640"/>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（二）性能与配置要求</w:t>
      </w:r>
    </w:p>
    <w:tbl>
      <w:tblPr>
        <w:tblStyle w:val="14"/>
        <w:tblW w:w="771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474"/>
        <w:gridCol w:w="55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1474"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w:t>
            </w:r>
          </w:p>
        </w:tc>
        <w:tc>
          <w:tcPr>
            <w:tcW w:w="5556"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474"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防护规模</w:t>
            </w:r>
          </w:p>
        </w:tc>
        <w:tc>
          <w:tcPr>
            <w:tcW w:w="5556"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管理控制中心支持纳管终端不少于800点（含PC与服务器），支持后续平滑扩展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474"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查杀能力</w:t>
            </w:r>
          </w:p>
        </w:tc>
        <w:tc>
          <w:tcPr>
            <w:tcW w:w="5556"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不少于3种检测引擎（特征、启发式、行为/基因等），病毒库每日更新，重大安全事件紧急更新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1474"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扫描性能</w:t>
            </w:r>
          </w:p>
        </w:tc>
        <w:tc>
          <w:tcPr>
            <w:tcW w:w="5556"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单机全盘扫描时CPU占用峰值不超过30%，内存占用可控，不影响业务系统正常运行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1474"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管理中心</w:t>
            </w:r>
          </w:p>
        </w:tc>
        <w:tc>
          <w:tcPr>
            <w:tcW w:w="5556"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支持分级分权管理；支持双机热备或集群部署，具备高可用能力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1474"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兼容性</w:t>
            </w:r>
          </w:p>
        </w:tc>
        <w:tc>
          <w:tcPr>
            <w:tcW w:w="5556"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支持Windows全系列桌面及服务器系统、主流Linux、银河麒麟/统信UOS等国产操作系统及国产处理器平台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1474"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日志留存</w:t>
            </w:r>
          </w:p>
        </w:tc>
        <w:tc>
          <w:tcPr>
            <w:tcW w:w="5556"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安全日志在线留存不少于6个月，支持Syslog外送至现有日志审计平台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0"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w:t>
            </w:r>
          </w:p>
        </w:tc>
        <w:tc>
          <w:tcPr>
            <w:tcW w:w="1474"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部署方式</w:t>
            </w:r>
          </w:p>
        </w:tc>
        <w:tc>
          <w:tcPr>
            <w:tcW w:w="5556" w:type="dxa"/>
          </w:tcPr>
          <w:p>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240" w:lineRule="auto"/>
              <w:ind w:left="0" w:right="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支持网页/离线安装包/域推送/准入重定向等多种安装方式，支持内网离线升级</w:t>
            </w:r>
          </w:p>
        </w:tc>
      </w:tr>
    </w:tbl>
    <w:p>
      <w:pPr>
        <w:keepNext w:val="0"/>
        <w:keepLines w:val="0"/>
        <w:pageBreakBefore w:val="0"/>
        <w:widowControl w:val="0"/>
        <w:kinsoku/>
        <w:wordWrap/>
        <w:overflowPunct/>
        <w:topLinePunct w:val="0"/>
        <w:autoSpaceDE/>
        <w:autoSpaceDN/>
        <w:bidi w:val="0"/>
        <w:snapToGrid w:val="0"/>
        <w:spacing w:before="60"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说明：以上指标均为最低限值，允许优于或等于该指标的同等及以上配置参与。</w:t>
      </w:r>
    </w:p>
    <w:p>
      <w:pPr>
        <w:keepNext w:val="0"/>
        <w:keepLines w:val="0"/>
        <w:pageBreakBefore w:val="0"/>
        <w:widowControl w:val="0"/>
        <w:kinsoku/>
        <w:wordWrap/>
        <w:overflowPunct/>
        <w:topLinePunct w:val="0"/>
        <w:autoSpaceDE/>
        <w:autoSpaceDN/>
        <w:bidi w:val="0"/>
        <w:snapToGrid w:val="0"/>
        <w:spacing w:before="60" w:after="0" w:line="240" w:lineRule="auto"/>
        <w:ind w:firstLine="640"/>
        <w:textAlignment w:val="auto"/>
        <w:rPr>
          <w:rFonts w:hint="eastAsia" w:ascii="仿宋_GB2312" w:hAnsi="仿宋_GB2312" w:eastAsia="仿宋_GB2312" w:cs="仿宋_GB2312"/>
          <w:b/>
          <w:bCs/>
          <w:sz w:val="24"/>
          <w:szCs w:val="24"/>
          <w:lang w:eastAsia="zh-CN"/>
        </w:rPr>
      </w:pPr>
      <w:r>
        <w:rPr>
          <w:rFonts w:hint="eastAsia" w:ascii="仿宋_GB2312" w:hAnsi="仿宋_GB2312" w:eastAsia="仿宋_GB2312" w:cs="仿宋_GB2312"/>
          <w:b/>
          <w:bCs/>
          <w:sz w:val="24"/>
          <w:szCs w:val="24"/>
          <w:lang w:eastAsia="zh-CN"/>
        </w:rPr>
        <w:t>（三）服务要求</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1.提供为期3年的升级许可服务，服务期内病毒库、规则库、引擎与客户端版本持续更新，更新频率不低于每日一次，重大安全事件提供紧急更新。</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2.提供7×24小时技术支持热线，一般问题4小时内响应，重大病毒事件2小时内响应并提供处置方案。</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3.服务期内每季度提供一次现场巡检，出具巡检报告；每年提供一次全网安全评估与加固建议。</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4.授权到期前30日主动提醒，配合医院完成后续续保或扩容。</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5.配合医院等级保护测评、上级网络安全检查与正版化检查，提供授权证明、部署清单、覆盖率统计等材料。</w:t>
      </w:r>
    </w:p>
    <w:p>
      <w:pPr>
        <w:keepNext w:val="0"/>
        <w:keepLines w:val="0"/>
        <w:pageBreakBefore w:val="0"/>
        <w:widowControl w:val="0"/>
        <w:kinsoku/>
        <w:wordWrap/>
        <w:overflowPunct/>
        <w:topLinePunct w:val="0"/>
        <w:autoSpaceDE/>
        <w:autoSpaceDN/>
        <w:bidi w:val="0"/>
        <w:snapToGrid w:val="0"/>
        <w:spacing w:after="0" w:line="240" w:lineRule="auto"/>
        <w:ind w:firstLine="640"/>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6.不得以授权到期为由导致已安装客户端失效或系统功能受限。</w:t>
      </w:r>
    </w:p>
    <w:sectPr>
      <w:pgSz w:w="11906" w:h="16838"/>
      <w:pgMar w:top="1440" w:right="1803" w:bottom="1440" w:left="1803" w:header="851" w:footer="992" w:gutter="0"/>
      <w:cols w:space="0" w:num="1"/>
      <w:rtlGutter w:val="0"/>
      <w:docGrid w:type="line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文星黑体">
    <w:altName w:val="黑体"/>
    <w:panose1 w:val="0201060900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66"/>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46503"/>
    <w:rsid w:val="0090217C"/>
    <w:rsid w:val="00BE2E26"/>
    <w:rsid w:val="014E0280"/>
    <w:rsid w:val="01D518FF"/>
    <w:rsid w:val="0306783C"/>
    <w:rsid w:val="03974053"/>
    <w:rsid w:val="041012AE"/>
    <w:rsid w:val="05644285"/>
    <w:rsid w:val="056E3308"/>
    <w:rsid w:val="058811AD"/>
    <w:rsid w:val="05983920"/>
    <w:rsid w:val="06616A6F"/>
    <w:rsid w:val="06637264"/>
    <w:rsid w:val="06641415"/>
    <w:rsid w:val="06D21E17"/>
    <w:rsid w:val="06D70A48"/>
    <w:rsid w:val="072E50C6"/>
    <w:rsid w:val="07827B14"/>
    <w:rsid w:val="085C379D"/>
    <w:rsid w:val="08847F6C"/>
    <w:rsid w:val="088966EE"/>
    <w:rsid w:val="09233F36"/>
    <w:rsid w:val="0962759A"/>
    <w:rsid w:val="099A24D8"/>
    <w:rsid w:val="0A496FE2"/>
    <w:rsid w:val="0A5B73EA"/>
    <w:rsid w:val="0A673E5F"/>
    <w:rsid w:val="0A7105F0"/>
    <w:rsid w:val="0AE47B1E"/>
    <w:rsid w:val="0B50556E"/>
    <w:rsid w:val="0BC2087A"/>
    <w:rsid w:val="0C0E2D62"/>
    <w:rsid w:val="0C8666E0"/>
    <w:rsid w:val="0D0328AB"/>
    <w:rsid w:val="0DB73133"/>
    <w:rsid w:val="0E0D2C40"/>
    <w:rsid w:val="0E441926"/>
    <w:rsid w:val="0E535960"/>
    <w:rsid w:val="0E5674D9"/>
    <w:rsid w:val="0EB466F8"/>
    <w:rsid w:val="0EBF7799"/>
    <w:rsid w:val="0F4722FA"/>
    <w:rsid w:val="0F760644"/>
    <w:rsid w:val="0F897808"/>
    <w:rsid w:val="0FA10E73"/>
    <w:rsid w:val="0FE867C1"/>
    <w:rsid w:val="0FFB437A"/>
    <w:rsid w:val="105F5910"/>
    <w:rsid w:val="10CB7670"/>
    <w:rsid w:val="1129237A"/>
    <w:rsid w:val="112A7A9F"/>
    <w:rsid w:val="123810C3"/>
    <w:rsid w:val="12580EEC"/>
    <w:rsid w:val="125F6671"/>
    <w:rsid w:val="128B4852"/>
    <w:rsid w:val="139E5CBD"/>
    <w:rsid w:val="139F5A87"/>
    <w:rsid w:val="13E6618F"/>
    <w:rsid w:val="14954624"/>
    <w:rsid w:val="158B7FDA"/>
    <w:rsid w:val="159B7158"/>
    <w:rsid w:val="15CF09FC"/>
    <w:rsid w:val="16344C46"/>
    <w:rsid w:val="16393602"/>
    <w:rsid w:val="16DC7AE0"/>
    <w:rsid w:val="170731BD"/>
    <w:rsid w:val="17450FC9"/>
    <w:rsid w:val="1753483A"/>
    <w:rsid w:val="178F45DF"/>
    <w:rsid w:val="17C3113B"/>
    <w:rsid w:val="185C0051"/>
    <w:rsid w:val="1940115E"/>
    <w:rsid w:val="19F52E2A"/>
    <w:rsid w:val="1ABE3A43"/>
    <w:rsid w:val="1AC3071F"/>
    <w:rsid w:val="1B27651E"/>
    <w:rsid w:val="1B4D18DA"/>
    <w:rsid w:val="1B5561F5"/>
    <w:rsid w:val="1B696422"/>
    <w:rsid w:val="1BF82CE0"/>
    <w:rsid w:val="1C9E1978"/>
    <w:rsid w:val="1CCB5656"/>
    <w:rsid w:val="1D502575"/>
    <w:rsid w:val="1DA57A56"/>
    <w:rsid w:val="1DC12523"/>
    <w:rsid w:val="1E39543E"/>
    <w:rsid w:val="1EAC3F2C"/>
    <w:rsid w:val="1EC747A1"/>
    <w:rsid w:val="1FF70BA6"/>
    <w:rsid w:val="1FF86EBC"/>
    <w:rsid w:val="200F1615"/>
    <w:rsid w:val="209100DD"/>
    <w:rsid w:val="20AC7391"/>
    <w:rsid w:val="20BA0C74"/>
    <w:rsid w:val="20F60EBA"/>
    <w:rsid w:val="21A437E9"/>
    <w:rsid w:val="21BF55DE"/>
    <w:rsid w:val="21E03505"/>
    <w:rsid w:val="2293423E"/>
    <w:rsid w:val="22BE48A5"/>
    <w:rsid w:val="22EA0E31"/>
    <w:rsid w:val="23597745"/>
    <w:rsid w:val="23A96C0E"/>
    <w:rsid w:val="242C03B8"/>
    <w:rsid w:val="24314357"/>
    <w:rsid w:val="24355AC3"/>
    <w:rsid w:val="24F06D17"/>
    <w:rsid w:val="261579EA"/>
    <w:rsid w:val="2637721C"/>
    <w:rsid w:val="26D45005"/>
    <w:rsid w:val="26F536DC"/>
    <w:rsid w:val="27C129C2"/>
    <w:rsid w:val="2823306E"/>
    <w:rsid w:val="283252BF"/>
    <w:rsid w:val="28460323"/>
    <w:rsid w:val="29487F82"/>
    <w:rsid w:val="29770FFA"/>
    <w:rsid w:val="29B47B51"/>
    <w:rsid w:val="2BC4525D"/>
    <w:rsid w:val="2BE1248B"/>
    <w:rsid w:val="2BF70ED7"/>
    <w:rsid w:val="2C8D3362"/>
    <w:rsid w:val="2CBD7D6D"/>
    <w:rsid w:val="2CF34CB0"/>
    <w:rsid w:val="2D067FF6"/>
    <w:rsid w:val="2D453ECC"/>
    <w:rsid w:val="2DA97563"/>
    <w:rsid w:val="2DBE0883"/>
    <w:rsid w:val="2DBF247F"/>
    <w:rsid w:val="2DFC5E4F"/>
    <w:rsid w:val="2E127BEC"/>
    <w:rsid w:val="2ED737AD"/>
    <w:rsid w:val="2F1B0CB4"/>
    <w:rsid w:val="2FA74CC2"/>
    <w:rsid w:val="30261BDE"/>
    <w:rsid w:val="30BA749B"/>
    <w:rsid w:val="30E83BF7"/>
    <w:rsid w:val="319A1B98"/>
    <w:rsid w:val="320E190F"/>
    <w:rsid w:val="326C6156"/>
    <w:rsid w:val="32915430"/>
    <w:rsid w:val="32EB18B3"/>
    <w:rsid w:val="338E42E2"/>
    <w:rsid w:val="33B8159B"/>
    <w:rsid w:val="33DD3CC2"/>
    <w:rsid w:val="33E5027E"/>
    <w:rsid w:val="34742945"/>
    <w:rsid w:val="349D7AB3"/>
    <w:rsid w:val="34B302E9"/>
    <w:rsid w:val="34B3356C"/>
    <w:rsid w:val="3507227E"/>
    <w:rsid w:val="35B14893"/>
    <w:rsid w:val="3645113D"/>
    <w:rsid w:val="364C6A4B"/>
    <w:rsid w:val="3695720F"/>
    <w:rsid w:val="36D05BB2"/>
    <w:rsid w:val="37882F53"/>
    <w:rsid w:val="378B19B6"/>
    <w:rsid w:val="37DB39C9"/>
    <w:rsid w:val="38442533"/>
    <w:rsid w:val="39BC3C69"/>
    <w:rsid w:val="3AB050B1"/>
    <w:rsid w:val="3B8A4BB6"/>
    <w:rsid w:val="3BAA707A"/>
    <w:rsid w:val="3BE22435"/>
    <w:rsid w:val="3BE91C1D"/>
    <w:rsid w:val="3C274923"/>
    <w:rsid w:val="3C59024E"/>
    <w:rsid w:val="3C732980"/>
    <w:rsid w:val="3D4572EC"/>
    <w:rsid w:val="3D4F6ED0"/>
    <w:rsid w:val="3DD44318"/>
    <w:rsid w:val="3DD5126E"/>
    <w:rsid w:val="3E7F198B"/>
    <w:rsid w:val="4093415D"/>
    <w:rsid w:val="40A34F94"/>
    <w:rsid w:val="40C11B8E"/>
    <w:rsid w:val="40F724E5"/>
    <w:rsid w:val="43B1151D"/>
    <w:rsid w:val="43B62B93"/>
    <w:rsid w:val="453C4CFD"/>
    <w:rsid w:val="455E789D"/>
    <w:rsid w:val="45C97AD5"/>
    <w:rsid w:val="46561CC4"/>
    <w:rsid w:val="46F964AC"/>
    <w:rsid w:val="47C13124"/>
    <w:rsid w:val="486C7417"/>
    <w:rsid w:val="49CA635B"/>
    <w:rsid w:val="4A306100"/>
    <w:rsid w:val="4B312183"/>
    <w:rsid w:val="4BAA0B7F"/>
    <w:rsid w:val="4BDF7F2A"/>
    <w:rsid w:val="4C515440"/>
    <w:rsid w:val="4CCD63FC"/>
    <w:rsid w:val="4DD44E9C"/>
    <w:rsid w:val="4E17470B"/>
    <w:rsid w:val="4EDD2EEB"/>
    <w:rsid w:val="4F097B75"/>
    <w:rsid w:val="501713DB"/>
    <w:rsid w:val="5026344A"/>
    <w:rsid w:val="5037594C"/>
    <w:rsid w:val="504D085B"/>
    <w:rsid w:val="511538A8"/>
    <w:rsid w:val="51206FDE"/>
    <w:rsid w:val="51491C22"/>
    <w:rsid w:val="518542D3"/>
    <w:rsid w:val="518E7743"/>
    <w:rsid w:val="51965E4E"/>
    <w:rsid w:val="51A2052E"/>
    <w:rsid w:val="51F17CF9"/>
    <w:rsid w:val="51FE2564"/>
    <w:rsid w:val="51FE61A2"/>
    <w:rsid w:val="52496FE9"/>
    <w:rsid w:val="528D6E2B"/>
    <w:rsid w:val="52E83DC5"/>
    <w:rsid w:val="54017CE1"/>
    <w:rsid w:val="54571857"/>
    <w:rsid w:val="54AF3AFE"/>
    <w:rsid w:val="54B35F20"/>
    <w:rsid w:val="54C84956"/>
    <w:rsid w:val="54DF2FAA"/>
    <w:rsid w:val="54FF335A"/>
    <w:rsid w:val="551249D2"/>
    <w:rsid w:val="55223F2F"/>
    <w:rsid w:val="55AB6F58"/>
    <w:rsid w:val="55B64AC4"/>
    <w:rsid w:val="55BC1C18"/>
    <w:rsid w:val="560E4F32"/>
    <w:rsid w:val="5661187C"/>
    <w:rsid w:val="5712074C"/>
    <w:rsid w:val="57233744"/>
    <w:rsid w:val="57764B7D"/>
    <w:rsid w:val="57B044E5"/>
    <w:rsid w:val="57F26A33"/>
    <w:rsid w:val="58E75789"/>
    <w:rsid w:val="5967740F"/>
    <w:rsid w:val="5992280D"/>
    <w:rsid w:val="5AFE414F"/>
    <w:rsid w:val="5BD144F3"/>
    <w:rsid w:val="5C1E32DA"/>
    <w:rsid w:val="5C6309D2"/>
    <w:rsid w:val="5C6410A0"/>
    <w:rsid w:val="5C7D1BD1"/>
    <w:rsid w:val="5CDF47D5"/>
    <w:rsid w:val="5CEE3FCD"/>
    <w:rsid w:val="5D0A749E"/>
    <w:rsid w:val="5D703C0D"/>
    <w:rsid w:val="5D9B7C91"/>
    <w:rsid w:val="5DA24171"/>
    <w:rsid w:val="5DD830E4"/>
    <w:rsid w:val="5EC42E35"/>
    <w:rsid w:val="60172EEB"/>
    <w:rsid w:val="60D260B0"/>
    <w:rsid w:val="61594C52"/>
    <w:rsid w:val="618A062A"/>
    <w:rsid w:val="624772C6"/>
    <w:rsid w:val="626F6842"/>
    <w:rsid w:val="6272254B"/>
    <w:rsid w:val="628B540E"/>
    <w:rsid w:val="63640CF5"/>
    <w:rsid w:val="639C74DA"/>
    <w:rsid w:val="63CB7229"/>
    <w:rsid w:val="642C2CA0"/>
    <w:rsid w:val="648F7915"/>
    <w:rsid w:val="64AB0B17"/>
    <w:rsid w:val="64E613E5"/>
    <w:rsid w:val="64F07963"/>
    <w:rsid w:val="652C6019"/>
    <w:rsid w:val="65AD00EC"/>
    <w:rsid w:val="65B94855"/>
    <w:rsid w:val="66470632"/>
    <w:rsid w:val="66534AD7"/>
    <w:rsid w:val="667C5FCE"/>
    <w:rsid w:val="66C8699E"/>
    <w:rsid w:val="66E05971"/>
    <w:rsid w:val="6742726E"/>
    <w:rsid w:val="67761523"/>
    <w:rsid w:val="67782713"/>
    <w:rsid w:val="68504699"/>
    <w:rsid w:val="685C0C8B"/>
    <w:rsid w:val="689C5443"/>
    <w:rsid w:val="69252342"/>
    <w:rsid w:val="69322FE9"/>
    <w:rsid w:val="69CB420D"/>
    <w:rsid w:val="69D86BC2"/>
    <w:rsid w:val="6AEE4BF2"/>
    <w:rsid w:val="6B870862"/>
    <w:rsid w:val="6BAB4EF0"/>
    <w:rsid w:val="6C3E5C60"/>
    <w:rsid w:val="6CFD6225"/>
    <w:rsid w:val="6D373CB7"/>
    <w:rsid w:val="6D383A53"/>
    <w:rsid w:val="6DE30EB1"/>
    <w:rsid w:val="6DF6410C"/>
    <w:rsid w:val="6E030EDF"/>
    <w:rsid w:val="6E4E517A"/>
    <w:rsid w:val="6E8A3E52"/>
    <w:rsid w:val="6E955349"/>
    <w:rsid w:val="6EEA6D4F"/>
    <w:rsid w:val="6EF26DFE"/>
    <w:rsid w:val="6FFB68E8"/>
    <w:rsid w:val="71644D17"/>
    <w:rsid w:val="71747FEB"/>
    <w:rsid w:val="71865001"/>
    <w:rsid w:val="7195626F"/>
    <w:rsid w:val="71E73A79"/>
    <w:rsid w:val="72197B1B"/>
    <w:rsid w:val="727B5BA7"/>
    <w:rsid w:val="72DB2E88"/>
    <w:rsid w:val="72F801B5"/>
    <w:rsid w:val="735D5523"/>
    <w:rsid w:val="73AA5FF5"/>
    <w:rsid w:val="743E5AB8"/>
    <w:rsid w:val="76926F94"/>
    <w:rsid w:val="76D4524B"/>
    <w:rsid w:val="76F75A5E"/>
    <w:rsid w:val="76F774A3"/>
    <w:rsid w:val="77087169"/>
    <w:rsid w:val="77305324"/>
    <w:rsid w:val="77D17783"/>
    <w:rsid w:val="78080ACE"/>
    <w:rsid w:val="786067D4"/>
    <w:rsid w:val="78752CF5"/>
    <w:rsid w:val="78BA7C38"/>
    <w:rsid w:val="78D93B02"/>
    <w:rsid w:val="790D0676"/>
    <w:rsid w:val="79370F44"/>
    <w:rsid w:val="794C4C3B"/>
    <w:rsid w:val="7A2C3129"/>
    <w:rsid w:val="7A9F7EA6"/>
    <w:rsid w:val="7B037EB5"/>
    <w:rsid w:val="7B153515"/>
    <w:rsid w:val="7BBD6CAF"/>
    <w:rsid w:val="7BF62302"/>
    <w:rsid w:val="7CD55ADE"/>
    <w:rsid w:val="7CDA444A"/>
    <w:rsid w:val="7CF62C3D"/>
    <w:rsid w:val="7D2434E6"/>
    <w:rsid w:val="7D503D91"/>
    <w:rsid w:val="7E33156A"/>
    <w:rsid w:val="7ECA3EAC"/>
    <w:rsid w:val="7ECC5F5E"/>
    <w:rsid w:val="7EF72B1D"/>
    <w:rsid w:val="7F44691E"/>
    <w:rsid w:val="7F571FE5"/>
    <w:rsid w:val="7F596664"/>
    <w:rsid w:val="7FD332B7"/>
    <w:rsid w:val="7FF560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3"/>
    <w:basedOn w:val="1"/>
    <w:next w:val="5"/>
    <w:qFormat/>
    <w:uiPriority w:val="0"/>
    <w:pPr>
      <w:jc w:val="left"/>
      <w:outlineLvl w:val="2"/>
    </w:pPr>
    <w:rPr>
      <w:rFonts w:hint="eastAsia" w:ascii="宋体" w:hAnsi="宋体" w:eastAsia="文星黑体"/>
      <w:kern w:val="0"/>
    </w:rPr>
  </w:style>
  <w:style w:type="character" w:default="1" w:styleId="11">
    <w:name w:val="Default Paragraph Font"/>
    <w:semiHidden/>
    <w:qFormat/>
    <w:uiPriority w:val="0"/>
  </w:style>
  <w:style w:type="table" w:default="1" w:styleId="1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1"/>
    <w:qFormat/>
    <w:uiPriority w:val="0"/>
    <w:pPr>
      <w:spacing w:after="120" w:afterLines="0" w:afterAutospacing="0"/>
      <w:ind w:left="420" w:leftChars="200"/>
    </w:pPr>
  </w:style>
  <w:style w:type="paragraph" w:styleId="5">
    <w:name w:val="Body Text First Indent"/>
    <w:basedOn w:val="1"/>
    <w:next w:val="1"/>
    <w:qFormat/>
    <w:uiPriority w:val="0"/>
    <w:pPr>
      <w:snapToGrid w:val="0"/>
      <w:ind w:firstLine="640" w:firstLineChars="200"/>
    </w:pPr>
  </w:style>
  <w:style w:type="paragraph" w:styleId="6">
    <w:name w:val="Body Text"/>
    <w:basedOn w:val="1"/>
    <w:next w:val="1"/>
    <w:qFormat/>
    <w:uiPriority w:val="0"/>
    <w:pPr>
      <w:spacing w:line="300" w:lineRule="exact"/>
    </w:pPr>
    <w:rPr>
      <w:rFonts w:ascii="宋体" w:hAnsi="宋体"/>
      <w:sz w:val="24"/>
    </w:rPr>
  </w:style>
  <w:style w:type="paragraph" w:styleId="7">
    <w:name w:val="Plain Text"/>
    <w:basedOn w:val="1"/>
    <w:qFormat/>
    <w:uiPriority w:val="0"/>
    <w:rPr>
      <w:rFonts w:ascii="宋体" w:hAnsi="Courier New"/>
      <w:szCs w:val="20"/>
    </w:rPr>
  </w:style>
  <w:style w:type="paragraph" w:styleId="8">
    <w:name w:val="footer"/>
    <w:basedOn w:val="1"/>
    <w:semiHidden/>
    <w:unhideWhenUsed/>
    <w:qFormat/>
    <w:uiPriority w:val="99"/>
    <w:pPr>
      <w:tabs>
        <w:tab w:val="center" w:pos="4153"/>
        <w:tab w:val="right" w:pos="8306"/>
      </w:tabs>
      <w:snapToGrid w:val="0"/>
      <w:jc w:val="left"/>
    </w:pPr>
    <w:rPr>
      <w:sz w:val="18"/>
      <w:szCs w:val="18"/>
    </w:rPr>
  </w:style>
  <w:style w:type="paragraph" w:styleId="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2">
    <w:name w:val="Hyperlink"/>
    <w:basedOn w:val="11"/>
    <w:semiHidden/>
    <w:unhideWhenUsed/>
    <w:qFormat/>
    <w:uiPriority w:val="99"/>
    <w:rPr>
      <w:color w:val="0000FF"/>
      <w:u w:val="single"/>
    </w:rPr>
  </w:style>
  <w:style w:type="table" w:styleId="14">
    <w:name w:val="Table Grid"/>
    <w:basedOn w:val="13"/>
    <w:qFormat/>
    <w:uiPriority w:val="59"/>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customStyle="1" w:styleId="15">
    <w:name w:val="font01"/>
    <w:basedOn w:val="11"/>
    <w:qFormat/>
    <w:uiPriority w:val="0"/>
    <w:rPr>
      <w:rFonts w:hint="default" w:ascii="Times New Roman" w:hAnsi="Times New Roman" w:cs="Times New Roman"/>
      <w:color w:val="0000FF"/>
      <w:sz w:val="21"/>
      <w:szCs w:val="21"/>
      <w:u w:val="none"/>
    </w:rPr>
  </w:style>
  <w:style w:type="character" w:customStyle="1" w:styleId="16">
    <w:name w:val="font21"/>
    <w:basedOn w:val="11"/>
    <w:qFormat/>
    <w:uiPriority w:val="0"/>
    <w:rPr>
      <w:rFonts w:hint="eastAsia" w:ascii="宋体" w:hAnsi="宋体" w:eastAsia="宋体" w:cs="宋体"/>
      <w:color w:val="0000FF"/>
      <w:sz w:val="21"/>
      <w:szCs w:val="21"/>
      <w:u w:val="none"/>
    </w:rPr>
  </w:style>
  <w:style w:type="character" w:customStyle="1" w:styleId="17">
    <w:name w:val="font11"/>
    <w:basedOn w:val="11"/>
    <w:qFormat/>
    <w:uiPriority w:val="0"/>
    <w:rPr>
      <w:rFonts w:hint="eastAsia" w:ascii="宋体" w:hAnsi="宋体" w:eastAsia="宋体" w:cs="宋体"/>
      <w:color w:val="0000FF"/>
      <w:sz w:val="21"/>
      <w:szCs w:val="21"/>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2</TotalTime>
  <ScaleCrop>false</ScaleCrop>
  <LinksUpToDate>false</LinksUpToDate>
  <CharactersWithSpaces>0</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2021-05-18T09:21:00Z</dcterms:created>
  <dc:creator>work</dc:creator>
  <cp:lastModifiedBy>张卫强</cp:lastModifiedBy>
  <cp:lastPrinted>2026-09-17T03:27:00Z</cp:lastPrinted>
  <dcterms:modified xsi:type="dcterms:W3CDTF">2026-09-22T00:01:49Z</dcterms:modified>
  <dc:title>关于邀请参加</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ies>
</file>