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LZ2026-14AG的智能监控系统设施</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医院智能监控系统设施1宗，具体内容见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《报价单》，具体要求见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《项目技术要求》。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价单》中的网线和PVC穿线管两类材料的数量为医院根据项目情况测量计算，实际使用量无论与该数量是否存在差异，最终均按照该数量结算。如供应商计划在论证前对该两类材料的数量做进一步复核，请在论证开始前与医院招标办联系。</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2026年7月3日17:00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《报价单》使用模拟采购量加权计算，以总价进行评判，实际采购将签订单价合同。模拟采购量仅为供应商确定报价方案使用，且只代表医院预估的采购状况，医院不对未来的实际采购量进行承诺。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5.项目技术要求</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2026年6月26日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pStyle w:val="2"/>
        <w:rPr>
          <w:rFonts w:hint="eastAsia"/>
          <w:lang w:val="en-US" w:eastAsia="zh-CN"/>
        </w:rPr>
      </w:pP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p>
      <w:pPr>
        <w:keepNext w:val="0"/>
        <w:keepLines w:val="0"/>
        <w:pageBreakBefore w:val="0"/>
        <w:kinsoku/>
        <w:wordWrap/>
        <w:overflowPunct/>
        <w:topLinePunct w:val="0"/>
        <w:autoSpaceDE/>
        <w:autoSpaceDN/>
        <w:bidi w:val="0"/>
        <w:adjustRightInd w:val="0"/>
        <w:snapToGrid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以下产品全部要求为国标，价格中包含布线、安装、调试等相关费用。如确有其他需要另行计费的，请单独填写于报价单后“对于报价的细化与追加说明”处并详细说明理由。</w:t>
      </w:r>
    </w:p>
    <w:tbl>
      <w:tblPr>
        <w:tblStyle w:val="13"/>
        <w:tblW w:w="8752" w:type="dxa"/>
        <w:tblInd w:w="-312" w:type="dxa"/>
        <w:shd w:val="clear" w:color="auto" w:fill="auto"/>
        <w:tblLayout w:type="fixed"/>
        <w:tblCellMar>
          <w:top w:w="0" w:type="dxa"/>
          <w:left w:w="0" w:type="dxa"/>
          <w:bottom w:w="0" w:type="dxa"/>
          <w:right w:w="0" w:type="dxa"/>
        </w:tblCellMar>
      </w:tblPr>
      <w:tblGrid>
        <w:gridCol w:w="600"/>
        <w:gridCol w:w="1747"/>
        <w:gridCol w:w="1275"/>
        <w:gridCol w:w="1500"/>
        <w:gridCol w:w="540"/>
        <w:gridCol w:w="615"/>
        <w:gridCol w:w="1230"/>
        <w:gridCol w:w="1245"/>
      </w:tblGrid>
      <w:tr>
        <w:tblPrEx>
          <w:shd w:val="clear" w:color="auto" w:fill="auto"/>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品牌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型号</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snapToGrid w:val="0"/>
                <w:color w:val="000000"/>
                <w:kern w:val="0"/>
                <w:sz w:val="21"/>
                <w:szCs w:val="21"/>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snapToGrid w:val="0"/>
                <w:color w:val="000000"/>
                <w:kern w:val="0"/>
                <w:sz w:val="21"/>
                <w:szCs w:val="21"/>
                <w:u w:val="none"/>
                <w:lang w:val="en-US" w:eastAsia="zh-CN" w:bidi="ar"/>
              </w:rPr>
              <w:t>单价</w:t>
            </w:r>
            <w:r>
              <w:rPr>
                <w:rFonts w:hint="eastAsia" w:ascii="仿宋_GB2312" w:hAnsi="仿宋_GB2312" w:cs="仿宋_GB2312"/>
                <w:i w:val="0"/>
                <w:snapToGrid w:val="0"/>
                <w:color w:val="000000"/>
                <w:kern w:val="0"/>
                <w:sz w:val="21"/>
                <w:szCs w:val="21"/>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snapToGrid w:val="0"/>
                <w:color w:val="000000"/>
                <w:kern w:val="0"/>
                <w:sz w:val="21"/>
                <w:szCs w:val="21"/>
                <w:u w:val="none"/>
                <w:lang w:val="en-US" w:eastAsia="zh-CN" w:bidi="ar"/>
              </w:rPr>
              <w:t>金额</w:t>
            </w:r>
            <w:r>
              <w:rPr>
                <w:rFonts w:hint="eastAsia" w:ascii="仿宋_GB2312" w:hAnsi="仿宋_GB2312" w:cs="仿宋_GB2312"/>
                <w:i w:val="0"/>
                <w:snapToGrid w:val="0"/>
                <w:color w:val="000000"/>
                <w:kern w:val="0"/>
                <w:sz w:val="21"/>
                <w:szCs w:val="21"/>
                <w:u w:val="none"/>
                <w:lang w:val="en-US" w:eastAsia="zh-CN" w:bidi="ar"/>
              </w:rPr>
              <w:t>（元）</w:t>
            </w:r>
          </w:p>
        </w:tc>
      </w:tr>
      <w:tr>
        <w:tblPrEx>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网络摄像机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后台分析录像机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显示器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监控支架</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硬盘</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POE交换机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2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网线</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6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360</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8</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PVC穿线管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6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160</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454" w:hRule="atLeast"/>
        </w:trPr>
        <w:tc>
          <w:tcPr>
            <w:tcW w:w="7507" w:type="dxa"/>
            <w:gridSpan w:val="7"/>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合计金额（元）</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sz w:val="21"/>
                <w:szCs w:val="21"/>
                <w:u w:val="none"/>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项目技术要求</w:t>
      </w:r>
    </w:p>
    <w:p>
      <w:pPr>
        <w:keepNext w:val="0"/>
        <w:keepLines w:val="0"/>
        <w:pageBreakBefore w:val="0"/>
        <w:widowControl/>
        <w:suppressLineNumbers w:val="0"/>
        <w:kinsoku/>
        <w:wordWrap/>
        <w:overflowPunct/>
        <w:topLinePunct w:val="0"/>
        <w:autoSpaceDE/>
        <w:autoSpaceDN/>
        <w:bidi w:val="0"/>
        <w:adjustRightInd w:val="0"/>
        <w:snapToGrid w:val="0"/>
        <w:ind w:firstLine="422" w:firstLineChars="200"/>
        <w:jc w:val="left"/>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一、网络摄像机</w:t>
      </w:r>
    </w:p>
    <w:p>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要求所投报产品完全兼容并接入到医院现有的安防监控系统进行录像存储，支持接入到医院现有的安防管理平台软件。</w:t>
      </w:r>
    </w:p>
    <w:p>
      <w:pPr>
        <w:pStyle w:val="2"/>
        <w:keepNext w:val="0"/>
        <w:keepLines w:val="0"/>
        <w:pageBreakBefore w:val="0"/>
        <w:kinsoku/>
        <w:wordWrap/>
        <w:overflowPunct/>
        <w:topLinePunct w:val="0"/>
        <w:autoSpaceDE/>
        <w:autoSpaceDN/>
        <w:bidi w:val="0"/>
        <w:adjustRightInd w:val="0"/>
        <w:snapToGrid w:val="0"/>
        <w:spacing w:after="0" w:afterLines="0"/>
        <w:ind w:firstLine="420" w:firstLineChars="20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F1.0超大光圈镜头，日夜臻全彩成像</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采用深度学习算法，以海量图片及视频资源为路基，通过机器自身提取目标特征，形成深层可供学习的图像</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支持智能资源模式切换：人脸抓拍（默认），smart事件，热度图，人数统计，道路监控，普通监控</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鳞镜补光：采用隐藏式灯珠设计，通过鳞甲密布排列形成的镜面反射出光，见光不见灯；增加发光面积，降低聚光效果，补光柔和均匀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Smart录像：支持断网续传功能保证录像不丢失，配合Smart NVR/SD卡实现事件录像的智能后检索、分析和浓缩播放，Smart编码：支持低码率、低延时、ROI感兴趣区域增强编码、SVC自适应编码技术，支持Smart265编码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系统功能：支持开放型网络视频接口、ISAPI、GB/T28181和OTAP；支持三码流技术，支持同时20路取流；支持云平台接入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宽动态：支持宽动态范围达120 dB，适合逆光环境监控</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图像相关：支持400万像素@60 fps实时帧率，图像更流畅；支持透雾，电子防抖，并具有多种白平衡模式，适合各种场景需求</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安全服务：支持三级用户权限管理，支持授权的用户和密码，支持IP地址过滤</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接口功能：内置MicroSD/MicroSDHC/MicroSDXC插槽，最大支持512 GB；支持10 M/100 M自适应网口；支持一对报警输入输出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人数统计模式：a)人员统计：支持实时报警，人数变化报警和拥堵等级变化报警，并支持人数异常和停留时间异常报警，b)异常行为检测：支持离岗检测，以及在离岗检测报警，c)区域关注度：支持区域人数检测、停留时长检测、实时数据上传，并支持区域人数分析和队列状态分析展示，d)热度图：支持设备上报和平台查询方式获取信息，并支持上报伪彩图背景大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光预警</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人脸抓拍模式：a)支持对运动人脸进行检测、抓拍、评分、筛选，输出优选的人脸，b)支持人脸去误报、快速抓拍人脸，c)支持快速抓拍和优选抓拍两种模式，d)最多同时检测30张人脸，e)支持人脸去重</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支持电量检测：支持设备功耗检测，支持设备功耗报表展示，报表类型支持日报表和周报表（默认日报表，单位瓦时（W·h））</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传感器类型：1/1.8" Progressive Scan CMOS</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最低照度：彩色：0.0005 Lux @（F1.0，AGC ON），0 Lux with Light</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宽动态：120 dB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焦距&amp;视场角：2.8~4 mm：水平视场角：110.0°~70.7°，垂直视场角：59.3°~39.2°，对角视场角：130.6°~81.8°</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4~6 mm：水平视场角：92.9°~56.1°，垂直视场角：46.4°~30.2°，对角视场角：112.7°~65.8°</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6~9 mm：水平视场角：57.4°~36.3°，垂直视场角：30.4°~19.8°，对角视场角：67.4°~42.2°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补光灯类型：鳞镜补光，暖白光，4颗灯珠</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补光距离：白光：普通监控：最远可达30 m，人脸抓拍/识别：最远可达5 m</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防补光过曝：支持防补光过曝开启和关闭，开启下支持自动和手动，手动支持根据距离等级控制补光灯亮度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最大图像尺寸：2560 × 1440</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视频压缩标准：H.265/H.264/MJPEG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网络：1个RJ45 10 M/100 M自适应以太网口</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SD卡扩展：内置MicroSD/MicroSDHC/MicroSDXC 插槽，最大支持512GB</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音频：1路输入（Line in），1路输出（Line out），2个内置麦克风，1个内置扬声器</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报警：1路输入，1路输出（报警输入支持开关量，报警输出最大支持DC12 V，30 mA）</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复位：支持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电源输出：DC12 V，100 mA</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接口类型：外甩线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RS-485：1个RS-485接口，半双工模式，支持自适应HIKVISION，PELCO-P和PELCO-D协议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产品尺寸：180.3 × 99.2 × 94 mm</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包装尺寸：315 × 137 × 141 mm</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设备重量：750 g</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带包装重量：1080 g</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存储温湿度：-30 ℃~60 ℃，湿度小于95%（无凝结）</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启动和工作温湿度：-30 ℃~60 ℃，湿度小于95%（无凝结）</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电流及功耗：DC：12 V，1.5 A，最大功耗：18 W</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PoE：802.3at，42.5 V~57 V，0.49 A~0.36 A，最大功耗：20.6 W</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供电方式：DC：12 V ± 20%，支持防反接保护</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PoE：802.3at，Type 2，Class 4</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电源接口类型：3芯电源接口</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线缆长度：35 cm </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防护：IP67</w:t>
      </w:r>
    </w:p>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rPr>
          <w:rFonts w:hint="eastAsia" w:ascii="仿宋_GB2312" w:hAnsi="仿宋_GB2312" w:eastAsia="仿宋_GB2312" w:cs="仿宋_GB2312"/>
          <w:b/>
          <w:bCs/>
          <w:i w:val="0"/>
          <w:color w:val="000000"/>
          <w:kern w:val="0"/>
          <w:sz w:val="21"/>
          <w:szCs w:val="21"/>
          <w:u w:val="none"/>
          <w:lang w:val="en-US" w:eastAsia="zh-CN" w:bidi="ar"/>
        </w:rPr>
      </w:pP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2" w:firstLineChars="200"/>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二、后台分析录像机</w:t>
      </w: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0" w:firstLineChars="20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要求所投报产品完全兼容并接入到医院现有的安防监控系统进行录像存储，支持接入到医院现有的安防管理平台软件。支持对接公安系统的数据平台。</w:t>
      </w:r>
    </w:p>
    <w:p>
      <w:pPr>
        <w:pStyle w:val="2"/>
        <w:keepNext w:val="0"/>
        <w:keepLines w:val="0"/>
        <w:pageBreakBefore w:val="0"/>
        <w:kinsoku/>
        <w:wordWrap/>
        <w:overflowPunct/>
        <w:topLinePunct w:val="0"/>
        <w:autoSpaceDE/>
        <w:autoSpaceDN/>
        <w:bidi w:val="0"/>
        <w:adjustRightInd w:val="0"/>
        <w:snapToGrid w:val="0"/>
        <w:spacing w:after="0" w:afterLines="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1U机架式2盘位嵌入式网络硬盘录像机，整机采用短机箱设计，搭载高性能电源</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【硬件规格】</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存储接口：2个SATA接口，可满配8TB硬盘</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视频接口：1×HDMI，1×VGA</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网络接口：2×RJ45 10/100/1000Mbps自适应以太网口</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报警接口：4路报警输入，1路报警输出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USB接口：2×USB 2.0</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【产品性能】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输入带宽：160Mbps</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输出带宽：160Mbps</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接入能力：16路H.264、H.265格式高清码流接入</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解码能力：最大支持12×1080P</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显示能力：最大支持4K+1080P异源输出</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【智能应用】</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目标识别应用：目标比对报警，1V1比对；支持以图搜图、按姓名检索、按属性检索</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目标名单库：支持16个名单库，名单库库容5万张</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目标抓拍：2路（4MP）视频流</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目标比对：8路图片流</w:t>
      </w:r>
    </w:p>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rPr>
          <w:rFonts w:hint="eastAsia" w:ascii="仿宋_GB2312" w:hAnsi="仿宋_GB2312" w:eastAsia="仿宋_GB2312" w:cs="仿宋_GB2312"/>
          <w:i w:val="0"/>
          <w:color w:val="000000"/>
          <w:kern w:val="0"/>
          <w:sz w:val="21"/>
          <w:szCs w:val="21"/>
          <w:u w:val="none"/>
          <w:lang w:val="en-US" w:eastAsia="zh-CN" w:bidi="ar"/>
        </w:rPr>
      </w:pP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2" w:firstLineChars="200"/>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三、显示器</w:t>
      </w: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0" w:firstLineChars="20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原生120Hz超频144Hz IPS 400nit高亮 硬件低蓝光 1级能效  23.8英寸，1080P分辨率</w:t>
      </w: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2" w:firstLineChars="200"/>
        <w:rPr>
          <w:rFonts w:hint="eastAsia" w:ascii="仿宋_GB2312" w:hAnsi="仿宋_GB2312" w:eastAsia="仿宋_GB2312" w:cs="仿宋_GB2312"/>
          <w:b/>
          <w:bCs/>
          <w:i w:val="0"/>
          <w:color w:val="000000"/>
          <w:kern w:val="0"/>
          <w:sz w:val="21"/>
          <w:szCs w:val="21"/>
          <w:u w:val="none"/>
          <w:lang w:val="en-US" w:eastAsia="zh-CN" w:bidi="ar"/>
        </w:rPr>
      </w:pP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2" w:firstLineChars="200"/>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四、监控支架</w:t>
      </w: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0" w:firstLineChars="20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壁装铝合金支架</w:t>
      </w: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0" w:firstLineChars="200"/>
        <w:rPr>
          <w:rFonts w:hint="eastAsia" w:ascii="仿宋_GB2312" w:hAnsi="仿宋_GB2312" w:eastAsia="仿宋_GB2312" w:cs="仿宋_GB2312"/>
          <w:i w:val="0"/>
          <w:color w:val="000000"/>
          <w:kern w:val="0"/>
          <w:sz w:val="21"/>
          <w:szCs w:val="21"/>
          <w:u w:val="none"/>
          <w:lang w:val="en-US" w:eastAsia="zh-CN" w:bidi="ar"/>
        </w:rPr>
      </w:pP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2" w:firstLineChars="200"/>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五、硬盘</w:t>
      </w:r>
    </w:p>
    <w:p>
      <w:pPr>
        <w:pStyle w:val="2"/>
        <w:keepNext w:val="0"/>
        <w:keepLines w:val="0"/>
        <w:pageBreakBefore w:val="0"/>
        <w:kinsoku/>
        <w:wordWrap/>
        <w:overflowPunct/>
        <w:topLinePunct w:val="0"/>
        <w:autoSpaceDE/>
        <w:autoSpaceDN/>
        <w:bidi w:val="0"/>
        <w:adjustRightInd w:val="0"/>
        <w:snapToGrid w:val="0"/>
        <w:spacing w:after="0" w:afterLines="0"/>
        <w:ind w:left="0" w:leftChars="0" w:firstLine="420" w:firstLineChars="20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监控专用企业级8T硬盘</w:t>
      </w:r>
    </w:p>
    <w:p>
      <w:pPr>
        <w:ind w:firstLine="420"/>
        <w:rPr>
          <w:rFonts w:hint="eastAsia" w:ascii="仿宋_GB2312" w:hAnsi="仿宋_GB2312" w:eastAsia="仿宋_GB2312" w:cs="仿宋_GB2312"/>
          <w:i w:val="0"/>
          <w:color w:val="000000"/>
          <w:kern w:val="0"/>
          <w:sz w:val="21"/>
          <w:szCs w:val="21"/>
          <w:u w:val="none"/>
          <w:lang w:val="en-US" w:eastAsia="zh-CN" w:bidi="ar"/>
        </w:rPr>
      </w:pPr>
    </w:p>
    <w:p>
      <w:pPr>
        <w:ind w:firstLine="420"/>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六、POE交换机</w:t>
      </w:r>
    </w:p>
    <w:p>
      <w:pPr>
        <w:ind w:firstLine="42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8+2POE交换机，整机功率不低于120W，单个端口最大功率30W，支持260米超远距离传输</w:t>
      </w:r>
    </w:p>
    <w:p>
      <w:pPr>
        <w:ind w:firstLine="420"/>
        <w:rPr>
          <w:rFonts w:hint="eastAsia" w:ascii="仿宋_GB2312" w:hAnsi="仿宋_GB2312" w:eastAsia="仿宋_GB2312" w:cs="仿宋_GB2312"/>
          <w:i w:val="0"/>
          <w:color w:val="000000"/>
          <w:kern w:val="0"/>
          <w:sz w:val="21"/>
          <w:szCs w:val="21"/>
          <w:u w:val="none"/>
          <w:lang w:val="en-US" w:eastAsia="zh-CN" w:bidi="ar"/>
        </w:rPr>
      </w:pPr>
    </w:p>
    <w:p>
      <w:pPr>
        <w:ind w:firstLine="420"/>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七、网线</w:t>
      </w:r>
    </w:p>
    <w:p>
      <w:pPr>
        <w:ind w:firstLine="42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CAT5e</w:t>
      </w:r>
    </w:p>
    <w:p>
      <w:pPr>
        <w:ind w:firstLine="420"/>
        <w:rPr>
          <w:rFonts w:hint="eastAsia" w:ascii="仿宋_GB2312" w:hAnsi="仿宋_GB2312" w:eastAsia="仿宋_GB2312" w:cs="仿宋_GB2312"/>
          <w:i w:val="0"/>
          <w:color w:val="000000"/>
          <w:kern w:val="0"/>
          <w:sz w:val="21"/>
          <w:szCs w:val="21"/>
          <w:u w:val="none"/>
          <w:lang w:val="en-US" w:eastAsia="zh-CN" w:bidi="ar"/>
        </w:rPr>
      </w:pPr>
    </w:p>
    <w:p>
      <w:pPr>
        <w:ind w:firstLine="420"/>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八、PVC穿线管</w:t>
      </w:r>
    </w:p>
    <w:p>
      <w:pPr>
        <w:ind w:firstLine="420"/>
        <w:rPr>
          <w:rFonts w:hint="eastAsia"/>
          <w:lang w:val="en-US" w:eastAsia="zh-CN"/>
        </w:rPr>
      </w:pPr>
      <w:r>
        <w:rPr>
          <w:rFonts w:hint="eastAsia" w:ascii="仿宋_GB2312" w:hAnsi="仿宋_GB2312" w:eastAsia="仿宋_GB2312" w:cs="仿宋_GB2312"/>
          <w:i w:val="0"/>
          <w:color w:val="000000"/>
          <w:kern w:val="0"/>
          <w:sz w:val="21"/>
          <w:szCs w:val="21"/>
          <w:u w:val="none"/>
          <w:lang w:val="en-US" w:eastAsia="zh-CN" w:bidi="ar"/>
        </w:rPr>
        <w:t>20mm PVC穿线管</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212F47"/>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350182"/>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356E5A"/>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AB0B17"/>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2026-06-26T01:07:55Z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