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江西思维智光医疗科技有限公司：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LZ2026-02DXSB的认知障碍评估训练与脑电刺激治疗系统使用终端</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2026年4月20日16:00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江西思维智光医疗科技有限公司生产的A620Ⅰ系列认知障碍评估训练与脑电刺激治疗系统使用终端3台。</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2026年4月17日17:00前</w:t>
      </w:r>
      <w:r>
        <w:rPr>
          <w:rFonts w:hint="eastAsia" w:ascii="仿宋_GB2312" w:hAnsi="仿宋_GB2312" w:eastAsia="仿宋_GB2312" w:cs="仿宋_GB2312"/>
          <w:color w:val="auto"/>
          <w:sz w:val="32"/>
          <w:szCs w:val="32"/>
          <w:lang w:val="en-US" w:eastAsia="zh-CN"/>
        </w:rPr>
        <w:t>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《法人授权委托书》扫描件。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如贵司授权委派本地公司参与，则由本地公司通过邮箱向医院招标办提交本地公司的</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格式《报名信息表》扫描件、本地公司的</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格式《法人授权委托书》扫描件、江西思维智光医疗科技有限公司对本地公司的自拟格式业务授权书。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论证采取线上形式，签到和现场沟通使用电话+腾讯会议联络方式。项目被授权人和报名联系人在论证当天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u w:val="none"/>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7日内</w:t>
      </w:r>
      <w:r>
        <w:rPr>
          <w:rFonts w:hint="eastAsia" w:ascii="仿宋_GB2312" w:hAnsi="仿宋_GB2312" w:eastAsia="仿宋_GB2312" w:cs="仿宋_GB2312"/>
          <w:color w:val="auto"/>
          <w:sz w:val="32"/>
          <w:szCs w:val="32"/>
          <w:lang w:val="en-US" w:eastAsia="zh-CN"/>
        </w:rPr>
        <w:t>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格式的《供应商承诺书》1份（内容为论证时提及需要贵司作出的承诺和贵司自行认为应当作出的其他承诺）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以上（一）至（五）需要每页加盖贵司红章。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项目定向邀请的原因是使用终端是A620Ⅰ系列认知障碍评估训练与脑电刺激治疗系统的专用配套产品，无其他生产商产品可替代。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2026年4月13日</w:t>
      </w:r>
    </w:p>
    <w:p>
      <w:pPr>
        <w:rPr>
          <w:rFonts w:hint="eastAsia" w:ascii="仿宋_GB2312" w:hAnsi="仿宋_GB2312" w:eastAsia="仿宋_GB2312" w:cs="仿宋_GB2312"/>
          <w:b w:val="0"/>
          <w:bCs/>
          <w:color w:val="auto"/>
          <w:sz w:val="28"/>
          <w:szCs w:val="28"/>
          <w:lang w:val="en-US" w:eastAsia="zh-CN"/>
        </w:rPr>
      </w:pPr>
      <w:bookmarkStart w:id="0" w:name="_GoBack"/>
      <w:bookmarkEnd w:id="0"/>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31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550" w:type="dxa"/>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名称</w:t>
            </w:r>
          </w:p>
        </w:tc>
        <w:tc>
          <w:tcPr>
            <w:tcW w:w="2760" w:type="dxa"/>
            <w:vAlign w:val="center"/>
          </w:tcPr>
          <w:p>
            <w:pPr>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单台价格（元）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55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A620Ⅰ系列认知障碍评估训练与脑电刺激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治疗系统使用终端</w:t>
            </w:r>
          </w:p>
        </w:tc>
        <w:tc>
          <w:tcPr>
            <w:tcW w:w="2760" w:type="dxa"/>
            <w:vAlign w:val="center"/>
          </w:tcPr>
          <w:p>
            <w:pPr>
              <w:jc w:val="center"/>
              <w:rPr>
                <w:rFonts w:hint="eastAsia" w:ascii="仿宋_GB2312" w:hAnsi="仿宋_GB2312" w:eastAsia="仿宋_GB2312" w:cs="仿宋_GB2312"/>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5F62224"/>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4BC49D7"/>
    <w:rsid w:val="15CF09FC"/>
    <w:rsid w:val="16393602"/>
    <w:rsid w:val="170731BD"/>
    <w:rsid w:val="17450FC9"/>
    <w:rsid w:val="1753483A"/>
    <w:rsid w:val="178F45DF"/>
    <w:rsid w:val="179460BE"/>
    <w:rsid w:val="17C3113B"/>
    <w:rsid w:val="1940115E"/>
    <w:rsid w:val="19F52E2A"/>
    <w:rsid w:val="1ABE3A43"/>
    <w:rsid w:val="1AC3071F"/>
    <w:rsid w:val="1B27651E"/>
    <w:rsid w:val="1B3828E9"/>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1D6908"/>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0F3CB1"/>
    <w:rsid w:val="55223F2F"/>
    <w:rsid w:val="558F125E"/>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211885"/>
    <w:rsid w:val="6E955349"/>
    <w:rsid w:val="6EEA6D4F"/>
    <w:rsid w:val="6EF26DFE"/>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2026-04-13T09:36:44Z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