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智业软件股份有限公司：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LZ2025-08DXXX的HIS、电子病历系统与互联网医院平台对接服务项目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2025年12月30日15:00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三楼西区第三会议室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实施HIS、电子病历系统接口的开发，使相应软件与山东众阳健康科技集团有限公司的互联网医院软件实现完全对接。具体要求见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《威海市互联网医院平台相关情况说明》。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2025年12月29日12:00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13:00至17:00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1.参与公司《营业执照》复印件1份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2.如，服务属于经营行政许可管理或者经营强制认证管理的，提供参与公司相关资质复印件1份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格式的《供应商承诺书》1份（内容为论证时提及需要参与公司作出的承诺和参与公司自行认为应当作出的其他承诺）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注意：以上（一）至（四）需要每页加盖参与公司红章。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w:t>
      </w:r>
      <w:r>
        <w:rPr>
          <w:rFonts w:hint="eastAsia" w:ascii="仿宋_GB2312" w:hAnsi="仿宋_GB2312" w:eastAsia="仿宋_GB2312" w:cs="仿宋_GB2312"/>
          <w:sz w:val="32"/>
          <w:szCs w:val="32"/>
          <w:lang w:val="en-US" w:eastAsia="zh-CN"/>
        </w:rPr>
        <w:t>目前仅相关软件系统的开发商具备相应服务能力。</w:t>
      </w:r>
      <w:r>
        <w:rPr>
          <w:rFonts w:hint="eastAsia" w:ascii="仿宋_GB2312" w:hAnsi="仿宋_GB2312" w:eastAsia="仿宋_GB2312" w:cs="仿宋_GB2312"/>
          <w:color w:val="auto"/>
          <w:sz w:val="32"/>
          <w:szCs w:val="32"/>
          <w:lang w:val="en-US" w:eastAsia="zh-CN"/>
        </w:rPr>
        <w:t>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5.威海市互联网医院平台相关情况说明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2025年12月23日</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7"/>
        <w:gridCol w:w="3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88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名称</w:t>
            </w:r>
          </w:p>
        </w:tc>
        <w:tc>
          <w:tcPr>
            <w:tcW w:w="362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88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实施HIS、电子病历系统接口的开发，使相应软件与山东众阳健康科技集团有限公司的互联网医院软件实现完全对接</w:t>
            </w:r>
          </w:p>
        </w:tc>
        <w:tc>
          <w:tcPr>
            <w:tcW w:w="362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附件5</w:t>
      </w:r>
    </w:p>
    <w:p>
      <w:pPr>
        <w:ind w:left="3291" w:hanging="3291" w:hangingChars="745"/>
        <w:jc w:val="center"/>
        <w:rPr>
          <w:rFonts w:hint="eastAsia" w:ascii="仿宋_GB2312" w:hAnsi="仿宋_GB2312" w:eastAsia="仿宋_GB2312" w:cs="仿宋_GB2312"/>
          <w:b/>
          <w:bCs w:val="0"/>
          <w:color w:val="auto"/>
          <w:sz w:val="44"/>
          <w:szCs w:val="44"/>
          <w:lang w:val="en-US" w:eastAsia="zh-CN"/>
        </w:rPr>
      </w:pPr>
      <w:r>
        <w:rPr>
          <w:rFonts w:hint="eastAsia" w:ascii="仿宋_GB2312" w:hAnsi="仿宋_GB2312" w:eastAsia="仿宋_GB2312" w:cs="仿宋_GB2312"/>
          <w:b/>
          <w:bCs w:val="0"/>
          <w:color w:val="auto"/>
          <w:sz w:val="44"/>
          <w:szCs w:val="44"/>
          <w:lang w:val="en-US" w:eastAsia="zh-CN"/>
        </w:rPr>
        <w:t>威海市互联网医院平台相关情况说明</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_GB2312" w:hAnsi="仿宋_GB2312" w:eastAsia="仿宋_GB2312" w:cs="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威海市互联网医院平台是威海市卫健委为落实威海市2025年20件市级重点民生实事之一而统一采购的平台，要求二级以上公立医院除之前已经建立过的医院之外，全部对接并开展相关工作，经信息科初步解决，目前有以下相关信息：</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一、平台功能（基本板块）</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互联网医院应用平台：面向居民提供全流程服务，包括用户注册、绑卡、在线咨询、复诊、开药、开检查检验、费用支付、报告查询、药品邮寄、健康档案查阅、智能导诊、用药指导等；同时支持家庭医生线上签约与履约服务。</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2.互联网医院监管平台：覆盖系统、服务、数据、医务、安全等全维度监管，支持管理人员实时监控运营数据，保障服务合规性。</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3.互联网平台数据中心：基于区块链技术实现数据综合管理与快速调阅，搭建应用与监管平台的联动桥梁。</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二、数据存储与安全保障</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（一）存储架构</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1.部署环境：平台部署于阿里云服务器，近期考虑迁至政务云平台，集中存储全市医疗数据。</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2.数据隔离：通过多租户云架构实现各医院数据实例级隔离，满足等保 2.0 三级要求；敏感数据采用国密算法加密存储，密钥由 KMS 统一管理。</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（二）安全措施</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1.传输安全：关键数据传输采用国家加密算法，通过防火墙与 VPN 建立加密通信隧道，结合数字签名保障真实性与完整性。</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2.权限管控：按角色分配访问权限，严格控制数据访问范围；操作日志全程记录（含操作人、时间、对象、结果等），保留 180 天以上供审计。</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3.合规要求：符合密评标准，支持 IPv6，关键模块采用双因子认证，杜绝弱密码；定期开展安全漏洞排查与安全服务能力评估。</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三、费用相关问题</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1.此平台为市卫健委统一招标采购，包含三年免费服务，如用以上基础版块，各单位无需再向众阳公司支付任何费用。三年之后，再议。</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2.如医院需要，众阳公司可提供有偿运营服务，如协助医院进行策划、宣传及软件的功能的定制开发等，可通过收入（除药品、耗材）分成来支付，众阳收取20%-30%的收入。</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3.与互联网医院平台对接需要HIS、门诊电子病历、LIS、PACS进行接口对接，这三家系统所涉及的接口费用，需要医院承担。经与HIS、电子病历厂商多次协商，本项目所要接口费约为15万元。</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四、其他重要信息</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经与上级沟通，在互联网医院发生的费用不支持医保统筹报销结算，不支持医保卡个人帐户资金结算，只能自费结算。</w:t>
      </w:r>
      <w:bookmarkStart w:id="0" w:name="_GoBack"/>
      <w:bookmarkEnd w:id="0"/>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4AC50BF"/>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BF11D78"/>
    <w:rsid w:val="1C9E1978"/>
    <w:rsid w:val="1DA57A56"/>
    <w:rsid w:val="1E39543E"/>
    <w:rsid w:val="1EAC3F2C"/>
    <w:rsid w:val="1EC747A1"/>
    <w:rsid w:val="1FF70BA6"/>
    <w:rsid w:val="1FF86EBC"/>
    <w:rsid w:val="200F1615"/>
    <w:rsid w:val="209100DD"/>
    <w:rsid w:val="20930A74"/>
    <w:rsid w:val="20F60EBA"/>
    <w:rsid w:val="21A437E9"/>
    <w:rsid w:val="21E03505"/>
    <w:rsid w:val="22764953"/>
    <w:rsid w:val="22EA0E31"/>
    <w:rsid w:val="23597745"/>
    <w:rsid w:val="242C03B8"/>
    <w:rsid w:val="24314357"/>
    <w:rsid w:val="24355AC3"/>
    <w:rsid w:val="24EA0AD7"/>
    <w:rsid w:val="26F536DC"/>
    <w:rsid w:val="27C129C2"/>
    <w:rsid w:val="28460323"/>
    <w:rsid w:val="29487F82"/>
    <w:rsid w:val="29770FFA"/>
    <w:rsid w:val="29B47B51"/>
    <w:rsid w:val="29FD63D0"/>
    <w:rsid w:val="2BC4525D"/>
    <w:rsid w:val="2BF70ED7"/>
    <w:rsid w:val="2C8D3362"/>
    <w:rsid w:val="2CF34CB0"/>
    <w:rsid w:val="2D067FF6"/>
    <w:rsid w:val="2D453ECC"/>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4B95646"/>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B312183"/>
    <w:rsid w:val="4BDF7F2A"/>
    <w:rsid w:val="4C515440"/>
    <w:rsid w:val="4CCD63FC"/>
    <w:rsid w:val="4DD44E9C"/>
    <w:rsid w:val="4E17470B"/>
    <w:rsid w:val="501713DB"/>
    <w:rsid w:val="5026344A"/>
    <w:rsid w:val="5037594C"/>
    <w:rsid w:val="504D085B"/>
    <w:rsid w:val="509C22F6"/>
    <w:rsid w:val="511538A8"/>
    <w:rsid w:val="51206FDE"/>
    <w:rsid w:val="51491C22"/>
    <w:rsid w:val="518542D3"/>
    <w:rsid w:val="518E7743"/>
    <w:rsid w:val="51965E4E"/>
    <w:rsid w:val="51F17CF9"/>
    <w:rsid w:val="51FE2564"/>
    <w:rsid w:val="51FE61A2"/>
    <w:rsid w:val="528D6E2B"/>
    <w:rsid w:val="53BF6D96"/>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6A2054"/>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F94265"/>
    <w:rsid w:val="71644D17"/>
    <w:rsid w:val="7195626F"/>
    <w:rsid w:val="71E73A79"/>
    <w:rsid w:val="727B5BA7"/>
    <w:rsid w:val="72DB2E88"/>
    <w:rsid w:val="735D5523"/>
    <w:rsid w:val="73AA5FF5"/>
    <w:rsid w:val="76926F94"/>
    <w:rsid w:val="76D4524B"/>
    <w:rsid w:val="76F774A3"/>
    <w:rsid w:val="77305324"/>
    <w:rsid w:val="77D17783"/>
    <w:rsid w:val="77FE64AB"/>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38486F"/>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2025-12-23T05:37:57Z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