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LZ2025-12SB的医用设备维保服务项目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2025年4月24日14:00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全部固定资产类与低值易耗材类医用设备的维保服务，包括故障维修和配件、非耗材类易损件的免费供应。配件为除磁共振磁体外的所有医用设备部件，如射线装置球管、探测器、超声探头等；易损件如电池、电极、电极线、滤芯、灯泡、氧电池、传感器、生化比色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本项目除外内容：手术室净化空调系统、制氧供氧系统、各种医用软件系统。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2025年4月22日17:00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2025年4月16日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每年度的服务价格</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医院固定资产类与低值易耗材类医用设备的维保服务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对于报价的细化与追加说明（如有）：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BF55DE"/>
    <w:rsid w:val="21E03505"/>
    <w:rsid w:val="2293423E"/>
    <w:rsid w:val="22EA0E31"/>
    <w:rsid w:val="23597745"/>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266343"/>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2025-04-16T00:06:28Z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